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page" w:horzAnchor="margin" w:tblpY="901"/>
        <w:tblW w:w="100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41"/>
        <w:gridCol w:w="1629"/>
        <w:gridCol w:w="4340"/>
      </w:tblGrid>
      <w:tr w:rsidR="00951104" w:rsidRPr="00977A0E" w:rsidTr="00B16883"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104" w:rsidRPr="00977A0E" w:rsidRDefault="00951104" w:rsidP="00B16883">
            <w:pPr>
              <w:widowControl w:val="0"/>
              <w:jc w:val="center"/>
              <w:rPr>
                <w:rFonts w:eastAsia="Courier New"/>
                <w:b/>
                <w:color w:val="000000"/>
                <w:sz w:val="20"/>
                <w:szCs w:val="20"/>
              </w:rPr>
            </w:pPr>
            <w:r w:rsidRPr="00977A0E">
              <w:rPr>
                <w:rFonts w:eastAsia="Courier New"/>
                <w:b/>
                <w:color w:val="000000"/>
                <w:sz w:val="20"/>
                <w:szCs w:val="20"/>
              </w:rPr>
              <w:t>ХАЛЬМГ ТАҢҺЧИН</w:t>
            </w:r>
          </w:p>
          <w:p w:rsidR="00951104" w:rsidRPr="00977A0E" w:rsidRDefault="00951104" w:rsidP="00B16883">
            <w:pPr>
              <w:widowControl w:val="0"/>
              <w:jc w:val="center"/>
              <w:rPr>
                <w:rFonts w:eastAsia="Courier New"/>
                <w:b/>
                <w:color w:val="000000"/>
                <w:sz w:val="20"/>
                <w:szCs w:val="20"/>
              </w:rPr>
            </w:pPr>
            <w:r w:rsidRPr="00977A0E">
              <w:rPr>
                <w:rFonts w:eastAsia="Courier New"/>
                <w:b/>
                <w:color w:val="000000"/>
                <w:sz w:val="20"/>
                <w:szCs w:val="20"/>
                <w:lang w:val="en-US"/>
              </w:rPr>
              <w:t>Y</w:t>
            </w:r>
            <w:r w:rsidRPr="00977A0E">
              <w:rPr>
                <w:rFonts w:eastAsia="Courier New"/>
                <w:b/>
                <w:color w:val="000000"/>
                <w:sz w:val="20"/>
                <w:szCs w:val="20"/>
              </w:rPr>
              <w:t xml:space="preserve">СТИН РАЙОНА </w:t>
            </w:r>
          </w:p>
          <w:p w:rsidR="00951104" w:rsidRPr="00977A0E" w:rsidRDefault="00951104" w:rsidP="00B16883">
            <w:pPr>
              <w:widowControl w:val="0"/>
              <w:jc w:val="center"/>
              <w:rPr>
                <w:rFonts w:eastAsia="Courier New"/>
                <w:b/>
                <w:color w:val="000000"/>
                <w:sz w:val="20"/>
                <w:szCs w:val="20"/>
              </w:rPr>
            </w:pPr>
            <w:r w:rsidRPr="00977A0E">
              <w:rPr>
                <w:rFonts w:eastAsia="Courier New"/>
                <w:b/>
                <w:color w:val="000000"/>
                <w:sz w:val="20"/>
                <w:szCs w:val="20"/>
              </w:rPr>
              <w:t xml:space="preserve">БАРУН СЕЛӘНӘ </w:t>
            </w:r>
          </w:p>
          <w:p w:rsidR="00951104" w:rsidRPr="00977A0E" w:rsidRDefault="00951104" w:rsidP="00B16883">
            <w:pPr>
              <w:widowControl w:val="0"/>
              <w:jc w:val="center"/>
              <w:rPr>
                <w:rFonts w:eastAsia="Courier New"/>
                <w:b/>
                <w:color w:val="000000"/>
                <w:sz w:val="20"/>
                <w:szCs w:val="20"/>
              </w:rPr>
            </w:pPr>
            <w:r w:rsidRPr="00977A0E">
              <w:rPr>
                <w:rFonts w:eastAsia="Courier New"/>
                <w:b/>
                <w:color w:val="000000"/>
                <w:sz w:val="20"/>
                <w:szCs w:val="20"/>
              </w:rPr>
              <w:t>МУНИЦИПАЛЬН Б</w:t>
            </w:r>
            <w:proofErr w:type="gramStart"/>
            <w:r w:rsidRPr="00977A0E">
              <w:rPr>
                <w:rFonts w:eastAsia="Courier New"/>
                <w:b/>
                <w:color w:val="000000"/>
                <w:sz w:val="20"/>
                <w:szCs w:val="20"/>
              </w:rPr>
              <w:t>Y</w:t>
            </w:r>
            <w:proofErr w:type="gramEnd"/>
            <w:r w:rsidRPr="00977A0E">
              <w:rPr>
                <w:rFonts w:eastAsia="Courier New"/>
                <w:b/>
                <w:color w:val="000000"/>
                <w:sz w:val="20"/>
                <w:szCs w:val="20"/>
              </w:rPr>
              <w:t>РДӘЦИН</w:t>
            </w:r>
          </w:p>
          <w:p w:rsidR="00951104" w:rsidRPr="00977A0E" w:rsidRDefault="00951104" w:rsidP="00B16883">
            <w:pPr>
              <w:widowControl w:val="0"/>
              <w:jc w:val="center"/>
              <w:rPr>
                <w:rFonts w:eastAsia="Courier New"/>
                <w:b/>
                <w:color w:val="000000"/>
                <w:sz w:val="20"/>
                <w:szCs w:val="20"/>
              </w:rPr>
            </w:pPr>
            <w:r w:rsidRPr="00977A0E">
              <w:rPr>
                <w:rFonts w:eastAsia="Courier New"/>
                <w:b/>
                <w:color w:val="000000"/>
                <w:sz w:val="20"/>
                <w:szCs w:val="20"/>
              </w:rPr>
              <w:t>ДЕПУТАТНРИН ХУРГИН ШИИДВР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104" w:rsidRPr="00977A0E" w:rsidRDefault="00951104" w:rsidP="00B16883">
            <w:pPr>
              <w:widowControl w:val="0"/>
              <w:jc w:val="center"/>
              <w:rPr>
                <w:rFonts w:eastAsia="Courier New"/>
                <w:color w:val="000000"/>
                <w:sz w:val="20"/>
                <w:szCs w:val="20"/>
              </w:rPr>
            </w:pPr>
            <w:r w:rsidRPr="00977A0E">
              <w:rPr>
                <w:rFonts w:eastAsia="Courier New"/>
                <w:noProof/>
                <w:color w:val="000000"/>
                <w:sz w:val="20"/>
                <w:szCs w:val="20"/>
              </w:rPr>
              <w:drawing>
                <wp:inline distT="0" distB="0" distL="0" distR="0" wp14:anchorId="2A899F74" wp14:editId="7CB6F9E2">
                  <wp:extent cx="876300" cy="876300"/>
                  <wp:effectExtent l="0" t="0" r="0" b="0"/>
                  <wp:docPr id="1" name="Рисунок 2" descr="герб ч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герб ч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104" w:rsidRPr="00977A0E" w:rsidRDefault="00951104" w:rsidP="00B16883">
            <w:pPr>
              <w:widowControl w:val="0"/>
              <w:jc w:val="center"/>
              <w:rPr>
                <w:rFonts w:eastAsia="Courier New"/>
                <w:b/>
                <w:color w:val="000000"/>
                <w:sz w:val="20"/>
                <w:szCs w:val="20"/>
              </w:rPr>
            </w:pPr>
            <w:r w:rsidRPr="00977A0E">
              <w:rPr>
                <w:rFonts w:eastAsia="Courier New"/>
                <w:b/>
                <w:color w:val="000000"/>
                <w:sz w:val="20"/>
                <w:szCs w:val="20"/>
              </w:rPr>
              <w:t xml:space="preserve"> РЕШЕНИЕ</w:t>
            </w:r>
          </w:p>
          <w:p w:rsidR="00951104" w:rsidRPr="00977A0E" w:rsidRDefault="00951104" w:rsidP="00B16883">
            <w:pPr>
              <w:widowControl w:val="0"/>
              <w:jc w:val="center"/>
              <w:rPr>
                <w:rFonts w:eastAsia="Courier New"/>
                <w:b/>
                <w:color w:val="000000"/>
                <w:sz w:val="20"/>
                <w:szCs w:val="20"/>
              </w:rPr>
            </w:pPr>
            <w:r w:rsidRPr="00977A0E">
              <w:rPr>
                <w:rFonts w:eastAsia="Courier New"/>
                <w:b/>
                <w:color w:val="000000"/>
                <w:sz w:val="20"/>
                <w:szCs w:val="20"/>
              </w:rPr>
              <w:t>СОБРАНИЕ  ДЕПУТАТОВ</w:t>
            </w:r>
          </w:p>
          <w:p w:rsidR="00951104" w:rsidRPr="00977A0E" w:rsidRDefault="00951104" w:rsidP="00B16883">
            <w:pPr>
              <w:widowControl w:val="0"/>
              <w:jc w:val="center"/>
              <w:rPr>
                <w:rFonts w:eastAsia="Courier New"/>
                <w:b/>
                <w:color w:val="000000"/>
                <w:sz w:val="20"/>
                <w:szCs w:val="20"/>
              </w:rPr>
            </w:pPr>
            <w:r w:rsidRPr="00977A0E">
              <w:rPr>
                <w:rFonts w:eastAsia="Courier New"/>
                <w:b/>
                <w:color w:val="000000"/>
                <w:sz w:val="20"/>
                <w:szCs w:val="20"/>
              </w:rPr>
              <w:t>БАРУНСКОГО СЕЛЬСКОГО</w:t>
            </w:r>
          </w:p>
          <w:p w:rsidR="00951104" w:rsidRPr="00977A0E" w:rsidRDefault="00951104" w:rsidP="00B16883">
            <w:pPr>
              <w:widowControl w:val="0"/>
              <w:jc w:val="center"/>
              <w:rPr>
                <w:rFonts w:eastAsia="Courier New"/>
                <w:b/>
                <w:color w:val="000000"/>
                <w:sz w:val="20"/>
                <w:szCs w:val="20"/>
              </w:rPr>
            </w:pPr>
            <w:r w:rsidRPr="00977A0E">
              <w:rPr>
                <w:rFonts w:eastAsia="Courier New"/>
                <w:b/>
                <w:color w:val="000000"/>
                <w:sz w:val="20"/>
                <w:szCs w:val="20"/>
              </w:rPr>
              <w:t>МУНИЦИПАЛЬНОГО ОБРАЗОВАНИЯ</w:t>
            </w:r>
          </w:p>
          <w:p w:rsidR="00951104" w:rsidRPr="00977A0E" w:rsidRDefault="00951104" w:rsidP="00B16883">
            <w:pPr>
              <w:widowControl w:val="0"/>
              <w:jc w:val="center"/>
              <w:rPr>
                <w:rFonts w:eastAsia="Courier New"/>
                <w:color w:val="000000"/>
                <w:sz w:val="20"/>
                <w:szCs w:val="20"/>
              </w:rPr>
            </w:pPr>
            <w:r w:rsidRPr="00977A0E">
              <w:rPr>
                <w:rFonts w:eastAsia="Courier New"/>
                <w:b/>
                <w:color w:val="000000"/>
                <w:sz w:val="20"/>
                <w:szCs w:val="20"/>
              </w:rPr>
              <w:t>РЕСПУБЛИКИ КАЛМЫКИЯ</w:t>
            </w:r>
          </w:p>
        </w:tc>
      </w:tr>
    </w:tbl>
    <w:p w:rsidR="00951104" w:rsidRPr="00977A0E" w:rsidRDefault="00951104" w:rsidP="00951104">
      <w:pPr>
        <w:rPr>
          <w:b/>
          <w:lang w:eastAsia="ar-SA"/>
        </w:rPr>
      </w:pPr>
    </w:p>
    <w:p w:rsidR="00951104" w:rsidRPr="00977A0E" w:rsidRDefault="00951104" w:rsidP="00951104">
      <w:pPr>
        <w:rPr>
          <w:lang w:eastAsia="ar-SA"/>
        </w:rPr>
      </w:pPr>
      <w:r w:rsidRPr="00977A0E">
        <w:rPr>
          <w:lang w:eastAsia="ar-SA"/>
        </w:rPr>
        <w:t>от «</w:t>
      </w:r>
      <w:r>
        <w:rPr>
          <w:lang w:eastAsia="ar-SA"/>
        </w:rPr>
        <w:t>14</w:t>
      </w:r>
      <w:r w:rsidRPr="00977A0E">
        <w:rPr>
          <w:lang w:eastAsia="ar-SA"/>
        </w:rPr>
        <w:t>» февраля 202</w:t>
      </w:r>
      <w:r>
        <w:rPr>
          <w:lang w:eastAsia="ar-SA"/>
        </w:rPr>
        <w:t>5</w:t>
      </w:r>
      <w:r>
        <w:rPr>
          <w:lang w:eastAsia="ar-SA"/>
        </w:rPr>
        <w:t xml:space="preserve">г.                         </w:t>
      </w:r>
      <w:r w:rsidRPr="00977A0E">
        <w:rPr>
          <w:lang w:eastAsia="ar-SA"/>
        </w:rPr>
        <w:t xml:space="preserve">       </w:t>
      </w:r>
      <w:r>
        <w:rPr>
          <w:lang w:eastAsia="ar-SA"/>
        </w:rPr>
        <w:t xml:space="preserve">    </w:t>
      </w:r>
      <w:r w:rsidRPr="00977A0E">
        <w:rPr>
          <w:lang w:eastAsia="ar-SA"/>
        </w:rPr>
        <w:t xml:space="preserve">№ </w:t>
      </w:r>
      <w:r>
        <w:rPr>
          <w:lang w:eastAsia="ar-SA"/>
        </w:rPr>
        <w:t>100</w:t>
      </w:r>
      <w:r w:rsidRPr="00977A0E">
        <w:rPr>
          <w:lang w:eastAsia="ar-SA"/>
        </w:rPr>
        <w:t xml:space="preserve">                                                       п. </w:t>
      </w:r>
      <w:proofErr w:type="spellStart"/>
      <w:r w:rsidRPr="00977A0E">
        <w:rPr>
          <w:lang w:eastAsia="ar-SA"/>
        </w:rPr>
        <w:t>Барун</w:t>
      </w:r>
      <w:proofErr w:type="spellEnd"/>
      <w:r w:rsidRPr="00977A0E">
        <w:rPr>
          <w:lang w:eastAsia="ar-SA"/>
        </w:rPr>
        <w:t xml:space="preserve"> </w:t>
      </w:r>
    </w:p>
    <w:p w:rsidR="00951104" w:rsidRDefault="00951104" w:rsidP="00951104">
      <w:pPr>
        <w:pStyle w:val="a4"/>
        <w:jc w:val="center"/>
        <w:rPr>
          <w:b/>
        </w:rPr>
      </w:pPr>
    </w:p>
    <w:p w:rsidR="00951104" w:rsidRDefault="00951104" w:rsidP="00951104">
      <w:pPr>
        <w:pStyle w:val="a4"/>
        <w:rPr>
          <w:b/>
        </w:rPr>
      </w:pPr>
    </w:p>
    <w:p w:rsidR="00951104" w:rsidRPr="00360BE6" w:rsidRDefault="00951104" w:rsidP="00951104">
      <w:pPr>
        <w:pStyle w:val="a4"/>
        <w:jc w:val="center"/>
        <w:rPr>
          <w:b/>
        </w:rPr>
      </w:pPr>
      <w:r w:rsidRPr="00360BE6">
        <w:rPr>
          <w:b/>
        </w:rPr>
        <w:t>Об установлении порогового значения размера дохода, приходящегося на каждого члена семьи, и стоимости имущества, находящегося в собственности членов семьи и подлеж</w:t>
      </w:r>
      <w:r w:rsidRPr="00360BE6">
        <w:rPr>
          <w:b/>
        </w:rPr>
        <w:t>а</w:t>
      </w:r>
      <w:r w:rsidRPr="00360BE6">
        <w:rPr>
          <w:b/>
        </w:rPr>
        <w:t>щего налогообложению, в целях признания граждан малоимущими и предоставления им по договорам социального найма жилых помещений муниципального жилищного фонда на 2025 год</w:t>
      </w:r>
    </w:p>
    <w:p w:rsidR="00951104" w:rsidRDefault="00951104" w:rsidP="00951104">
      <w:pPr>
        <w:pStyle w:val="a4"/>
        <w:jc w:val="both"/>
      </w:pPr>
    </w:p>
    <w:p w:rsidR="00951104" w:rsidRDefault="00951104" w:rsidP="00951104">
      <w:pPr>
        <w:pStyle w:val="a4"/>
        <w:ind w:firstLine="567"/>
        <w:jc w:val="both"/>
      </w:pPr>
      <w:r>
        <w:t>В соответствии со статьей 14 Жилищного кодекса Российской Федерации, Законом Ре</w:t>
      </w:r>
      <w:r>
        <w:t>с</w:t>
      </w:r>
      <w:r>
        <w:t xml:space="preserve">публики Калмыкия от 3 ноября 2011 года N 296-IV-З "О правовом регулировании отдельных вопросов в сфере жилищных отношений", Собрание депутатов </w:t>
      </w:r>
      <w:proofErr w:type="spellStart"/>
      <w:r>
        <w:t>Барунского</w:t>
      </w:r>
      <w:proofErr w:type="spellEnd"/>
      <w:r>
        <w:t xml:space="preserve"> </w:t>
      </w:r>
      <w:r w:rsidRPr="00360BE6">
        <w:rPr>
          <w:color w:val="000000"/>
          <w:shd w:val="clear" w:color="auto" w:fill="FFFFFF"/>
        </w:rPr>
        <w:t>сельского мун</w:t>
      </w:r>
      <w:r w:rsidRPr="00360BE6">
        <w:rPr>
          <w:color w:val="000000"/>
          <w:shd w:val="clear" w:color="auto" w:fill="FFFFFF"/>
        </w:rPr>
        <w:t>и</w:t>
      </w:r>
      <w:r w:rsidRPr="00360BE6">
        <w:rPr>
          <w:color w:val="000000"/>
          <w:shd w:val="clear" w:color="auto" w:fill="FFFFFF"/>
        </w:rPr>
        <w:t>ципального образования Республики Калмыкия</w:t>
      </w:r>
      <w:r w:rsidRPr="00360BE6">
        <w:t xml:space="preserve"> </w:t>
      </w:r>
    </w:p>
    <w:p w:rsidR="00951104" w:rsidRDefault="00951104" w:rsidP="00951104">
      <w:pPr>
        <w:pStyle w:val="a4"/>
        <w:ind w:firstLine="567"/>
        <w:jc w:val="both"/>
      </w:pPr>
    </w:p>
    <w:p w:rsidR="00951104" w:rsidRDefault="00951104" w:rsidP="00951104">
      <w:pPr>
        <w:pStyle w:val="a4"/>
        <w:ind w:firstLine="567"/>
        <w:jc w:val="center"/>
      </w:pPr>
      <w:r>
        <w:t>РЕШИЛО:</w:t>
      </w:r>
    </w:p>
    <w:p w:rsidR="00951104" w:rsidRDefault="00951104" w:rsidP="00951104">
      <w:pPr>
        <w:pStyle w:val="a4"/>
        <w:ind w:firstLine="567"/>
        <w:jc w:val="center"/>
      </w:pPr>
    </w:p>
    <w:p w:rsidR="00951104" w:rsidRDefault="00951104" w:rsidP="00951104">
      <w:pPr>
        <w:pStyle w:val="a4"/>
        <w:ind w:firstLine="567"/>
        <w:jc w:val="both"/>
      </w:pPr>
      <w:r>
        <w:t>1. Установить на 2025 год размер среднемесячного дохода (пороговое значение), прих</w:t>
      </w:r>
      <w:r>
        <w:t>о</w:t>
      </w:r>
      <w:r>
        <w:t>дящегося на каждого члена семьи, в целях признания граждан малоимущими и предоставл</w:t>
      </w:r>
      <w:r>
        <w:t>е</w:t>
      </w:r>
      <w:r>
        <w:t xml:space="preserve">ния им по договорам социального найма жилых помещений муниципального жилищного фонда в размере: </w:t>
      </w:r>
    </w:p>
    <w:p w:rsidR="00951104" w:rsidRDefault="00951104" w:rsidP="00951104">
      <w:pPr>
        <w:pStyle w:val="a4"/>
        <w:ind w:firstLine="567"/>
        <w:jc w:val="both"/>
      </w:pPr>
      <w:r>
        <w:t xml:space="preserve">- для одиноко проживающего - 27 233 рубля; </w:t>
      </w:r>
    </w:p>
    <w:p w:rsidR="00951104" w:rsidRDefault="00951104" w:rsidP="00951104">
      <w:pPr>
        <w:pStyle w:val="a4"/>
        <w:ind w:firstLine="567"/>
        <w:jc w:val="both"/>
      </w:pPr>
      <w:r>
        <w:t xml:space="preserve">- для семьи из 2 человек - 24 399 рублей; </w:t>
      </w:r>
    </w:p>
    <w:p w:rsidR="00951104" w:rsidRDefault="00951104" w:rsidP="00951104">
      <w:pPr>
        <w:pStyle w:val="a4"/>
        <w:ind w:firstLine="567"/>
        <w:jc w:val="both"/>
      </w:pPr>
      <w:r>
        <w:t xml:space="preserve">- для семьи из 3 человек и более - 22 753 рублей. </w:t>
      </w:r>
    </w:p>
    <w:p w:rsidR="00951104" w:rsidRDefault="00951104" w:rsidP="00951104">
      <w:pPr>
        <w:pStyle w:val="a4"/>
        <w:ind w:firstLine="567"/>
        <w:jc w:val="both"/>
      </w:pPr>
      <w:r>
        <w:t xml:space="preserve">2. Установить на 2025 год пороговое значение стоимости имущества, находящегося в собственности членов семьи и подлежащего налогообложению, в размере: </w:t>
      </w:r>
    </w:p>
    <w:p w:rsidR="00951104" w:rsidRDefault="00951104" w:rsidP="00951104">
      <w:pPr>
        <w:pStyle w:val="a4"/>
        <w:ind w:firstLine="567"/>
        <w:jc w:val="both"/>
      </w:pPr>
      <w:r>
        <w:t xml:space="preserve">- для одиноко </w:t>
      </w:r>
      <w:proofErr w:type="gramStart"/>
      <w:r>
        <w:t>проживающего</w:t>
      </w:r>
      <w:proofErr w:type="gramEnd"/>
      <w:r>
        <w:t xml:space="preserve"> - 1 773 849 рублей; </w:t>
      </w:r>
    </w:p>
    <w:p w:rsidR="00951104" w:rsidRDefault="00951104" w:rsidP="00951104">
      <w:pPr>
        <w:pStyle w:val="a4"/>
        <w:ind w:firstLine="567"/>
        <w:jc w:val="both"/>
      </w:pPr>
      <w:r>
        <w:t xml:space="preserve">- для семьи из 2 человек - 2 527 626 рублей; </w:t>
      </w:r>
    </w:p>
    <w:p w:rsidR="00951104" w:rsidRDefault="00951104" w:rsidP="00951104">
      <w:pPr>
        <w:pStyle w:val="a4"/>
        <w:ind w:firstLine="567"/>
        <w:jc w:val="both"/>
      </w:pPr>
      <w:r>
        <w:t xml:space="preserve">- для семьи из 3 человек и более - 967 554 рублей на каждого члена семьи. </w:t>
      </w:r>
    </w:p>
    <w:p w:rsidR="00951104" w:rsidRDefault="00951104" w:rsidP="00951104">
      <w:pPr>
        <w:pStyle w:val="a4"/>
        <w:ind w:firstLine="567"/>
        <w:jc w:val="both"/>
      </w:pPr>
      <w:r>
        <w:t>3. Превышение одного из пороговых значений является основанием для отказа в пр</w:t>
      </w:r>
      <w:r>
        <w:t>и</w:t>
      </w:r>
      <w:r>
        <w:t xml:space="preserve">знании граждан малоимущими. </w:t>
      </w:r>
    </w:p>
    <w:p w:rsidR="00951104" w:rsidRDefault="00951104" w:rsidP="00951104">
      <w:pPr>
        <w:pStyle w:val="a4"/>
        <w:ind w:firstLine="567"/>
        <w:jc w:val="both"/>
      </w:pPr>
      <w:r>
        <w:t xml:space="preserve">4. Настоящее решение подлежит официальному опубликованию и распространяется на правоотношения, возникшие с 1 января 2025 года. </w:t>
      </w:r>
    </w:p>
    <w:p w:rsidR="00951104" w:rsidRDefault="00951104" w:rsidP="00951104">
      <w:pPr>
        <w:pStyle w:val="a3"/>
        <w:spacing w:before="0" w:after="0" w:line="288" w:lineRule="atLeast"/>
        <w:jc w:val="both"/>
      </w:pPr>
      <w:r>
        <w:t xml:space="preserve">  </w:t>
      </w:r>
    </w:p>
    <w:p w:rsidR="00951104" w:rsidRPr="005B3E4F" w:rsidRDefault="00951104" w:rsidP="00951104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951104" w:rsidRPr="00ED1FCA" w:rsidRDefault="00951104" w:rsidP="00951104">
      <w:pPr>
        <w:rPr>
          <w:rFonts w:eastAsia="Calibri"/>
        </w:rPr>
      </w:pPr>
      <w:r w:rsidRPr="00ED1FCA">
        <w:rPr>
          <w:rFonts w:eastAsia="Calibri"/>
        </w:rPr>
        <w:t>Председатель Собрания депутатов</w:t>
      </w:r>
    </w:p>
    <w:p w:rsidR="00951104" w:rsidRPr="00ED1FCA" w:rsidRDefault="00951104" w:rsidP="00951104">
      <w:pPr>
        <w:rPr>
          <w:rFonts w:eastAsia="Calibri"/>
        </w:rPr>
      </w:pPr>
      <w:proofErr w:type="spellStart"/>
      <w:r w:rsidRPr="00ED1FCA">
        <w:rPr>
          <w:rFonts w:eastAsia="Calibri"/>
        </w:rPr>
        <w:t>Барунского</w:t>
      </w:r>
      <w:proofErr w:type="spellEnd"/>
      <w:r w:rsidRPr="00ED1FCA">
        <w:rPr>
          <w:rFonts w:eastAsia="Calibri"/>
        </w:rPr>
        <w:t xml:space="preserve"> сельского муниципального</w:t>
      </w:r>
    </w:p>
    <w:p w:rsidR="00951104" w:rsidRPr="00ED1FCA" w:rsidRDefault="00951104" w:rsidP="00951104">
      <w:pPr>
        <w:rPr>
          <w:rFonts w:eastAsia="Calibri"/>
        </w:rPr>
      </w:pPr>
      <w:r w:rsidRPr="00ED1FCA">
        <w:rPr>
          <w:rFonts w:eastAsia="Calibri"/>
        </w:rPr>
        <w:t xml:space="preserve">образования Республики Калмыкия                                                                     С.Б. </w:t>
      </w:r>
      <w:proofErr w:type="spellStart"/>
      <w:r w:rsidRPr="00ED1FCA">
        <w:rPr>
          <w:rFonts w:eastAsia="Calibri"/>
        </w:rPr>
        <w:t>Иванкиев</w:t>
      </w:r>
      <w:proofErr w:type="spellEnd"/>
    </w:p>
    <w:p w:rsidR="00951104" w:rsidRPr="00ED1FCA" w:rsidRDefault="00951104" w:rsidP="00951104">
      <w:pPr>
        <w:widowControl w:val="0"/>
        <w:autoSpaceDE w:val="0"/>
        <w:autoSpaceDN w:val="0"/>
      </w:pPr>
      <w:r w:rsidRPr="00ED1FCA">
        <w:t xml:space="preserve"> </w:t>
      </w:r>
    </w:p>
    <w:p w:rsidR="00951104" w:rsidRDefault="00951104" w:rsidP="00951104">
      <w:pPr>
        <w:autoSpaceDE w:val="0"/>
        <w:autoSpaceDN w:val="0"/>
        <w:adjustRightInd w:val="0"/>
        <w:outlineLvl w:val="0"/>
        <w:rPr>
          <w:rFonts w:cs="Times New Roman CYR"/>
        </w:rPr>
      </w:pPr>
    </w:p>
    <w:p w:rsidR="00951104" w:rsidRDefault="00951104" w:rsidP="00951104">
      <w:pPr>
        <w:autoSpaceDE w:val="0"/>
        <w:autoSpaceDN w:val="0"/>
        <w:adjustRightInd w:val="0"/>
        <w:outlineLvl w:val="0"/>
        <w:rPr>
          <w:rFonts w:cs="Times New Roman CYR"/>
        </w:rPr>
      </w:pPr>
    </w:p>
    <w:p w:rsidR="00951104" w:rsidRDefault="00951104" w:rsidP="00951104">
      <w:pPr>
        <w:autoSpaceDE w:val="0"/>
        <w:autoSpaceDN w:val="0"/>
        <w:adjustRightInd w:val="0"/>
        <w:outlineLvl w:val="0"/>
        <w:rPr>
          <w:rFonts w:cs="Times New Roman CYR"/>
        </w:rPr>
      </w:pPr>
    </w:p>
    <w:p w:rsidR="00951104" w:rsidRDefault="00951104" w:rsidP="00951104">
      <w:pPr>
        <w:autoSpaceDE w:val="0"/>
        <w:autoSpaceDN w:val="0"/>
        <w:adjustRightInd w:val="0"/>
        <w:outlineLvl w:val="0"/>
        <w:rPr>
          <w:rFonts w:cs="Times New Roman CYR"/>
        </w:rPr>
      </w:pPr>
    </w:p>
    <w:p w:rsidR="00951104" w:rsidRDefault="00951104" w:rsidP="00951104">
      <w:pPr>
        <w:autoSpaceDE w:val="0"/>
        <w:autoSpaceDN w:val="0"/>
        <w:adjustRightInd w:val="0"/>
        <w:outlineLvl w:val="0"/>
        <w:rPr>
          <w:rFonts w:cs="Times New Roman CYR"/>
        </w:rPr>
      </w:pPr>
    </w:p>
    <w:p w:rsidR="00951104" w:rsidRDefault="00951104" w:rsidP="00951104">
      <w:pPr>
        <w:autoSpaceDE w:val="0"/>
        <w:autoSpaceDN w:val="0"/>
        <w:adjustRightInd w:val="0"/>
        <w:outlineLvl w:val="0"/>
        <w:rPr>
          <w:rFonts w:cs="Times New Roman CYR"/>
        </w:rPr>
      </w:pPr>
    </w:p>
    <w:p w:rsidR="00951104" w:rsidRDefault="00951104" w:rsidP="00951104">
      <w:pPr>
        <w:autoSpaceDE w:val="0"/>
        <w:autoSpaceDN w:val="0"/>
        <w:adjustRightInd w:val="0"/>
        <w:outlineLvl w:val="0"/>
        <w:rPr>
          <w:rFonts w:cs="Times New Roman CYR"/>
        </w:rPr>
      </w:pPr>
    </w:p>
    <w:p w:rsidR="00951104" w:rsidRDefault="00951104" w:rsidP="00951104">
      <w:pPr>
        <w:autoSpaceDE w:val="0"/>
        <w:autoSpaceDN w:val="0"/>
        <w:adjustRightInd w:val="0"/>
        <w:outlineLvl w:val="0"/>
        <w:rPr>
          <w:sz w:val="20"/>
          <w:szCs w:val="20"/>
        </w:rPr>
      </w:pPr>
      <w:bookmarkStart w:id="0" w:name="_GoBack"/>
      <w:bookmarkEnd w:id="0"/>
    </w:p>
    <w:p w:rsidR="00951104" w:rsidRDefault="00951104" w:rsidP="00951104">
      <w:pPr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  <w:r w:rsidRPr="0034074D">
        <w:rPr>
          <w:sz w:val="20"/>
          <w:szCs w:val="20"/>
        </w:rPr>
        <w:lastRenderedPageBreak/>
        <w:t xml:space="preserve">Приложение № 1 </w:t>
      </w:r>
      <w:proofErr w:type="gramStart"/>
      <w:r w:rsidRPr="0034074D">
        <w:rPr>
          <w:sz w:val="20"/>
          <w:szCs w:val="20"/>
        </w:rPr>
        <w:t>к</w:t>
      </w:r>
      <w:proofErr w:type="gramEnd"/>
      <w:r w:rsidRPr="0034074D">
        <w:rPr>
          <w:sz w:val="20"/>
          <w:szCs w:val="20"/>
        </w:rPr>
        <w:t xml:space="preserve"> </w:t>
      </w:r>
    </w:p>
    <w:p w:rsidR="00951104" w:rsidRDefault="00951104" w:rsidP="00951104">
      <w:pPr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  <w:r>
        <w:rPr>
          <w:sz w:val="20"/>
          <w:szCs w:val="20"/>
        </w:rPr>
        <w:t>р</w:t>
      </w:r>
      <w:r w:rsidRPr="0034074D">
        <w:rPr>
          <w:sz w:val="20"/>
          <w:szCs w:val="20"/>
        </w:rPr>
        <w:t>ешению Собрания депутатов</w:t>
      </w:r>
    </w:p>
    <w:p w:rsidR="00951104" w:rsidRDefault="00951104" w:rsidP="00951104">
      <w:pPr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  <w:r w:rsidRPr="0034074D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Барунского</w:t>
      </w:r>
      <w:proofErr w:type="spellEnd"/>
      <w:r w:rsidRPr="0034074D">
        <w:rPr>
          <w:sz w:val="20"/>
          <w:szCs w:val="20"/>
        </w:rPr>
        <w:t xml:space="preserve"> сельского муниципального </w:t>
      </w:r>
    </w:p>
    <w:p w:rsidR="00951104" w:rsidRDefault="00951104" w:rsidP="00951104">
      <w:pPr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  <w:r w:rsidRPr="0034074D">
        <w:rPr>
          <w:sz w:val="20"/>
          <w:szCs w:val="20"/>
        </w:rPr>
        <w:t>обра</w:t>
      </w:r>
      <w:r>
        <w:rPr>
          <w:sz w:val="20"/>
          <w:szCs w:val="20"/>
        </w:rPr>
        <w:t xml:space="preserve">зования Республики Калмыкия </w:t>
      </w:r>
    </w:p>
    <w:p w:rsidR="00951104" w:rsidRDefault="00951104" w:rsidP="00951104">
      <w:pPr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№ 100 </w:t>
      </w:r>
      <w:r w:rsidRPr="0034074D">
        <w:rPr>
          <w:sz w:val="20"/>
          <w:szCs w:val="20"/>
        </w:rPr>
        <w:t xml:space="preserve">от </w:t>
      </w:r>
      <w:r>
        <w:rPr>
          <w:sz w:val="20"/>
          <w:szCs w:val="20"/>
        </w:rPr>
        <w:t xml:space="preserve">14.02.2025 </w:t>
      </w:r>
      <w:r w:rsidRPr="0034074D">
        <w:rPr>
          <w:sz w:val="20"/>
          <w:szCs w:val="20"/>
        </w:rPr>
        <w:t>г.</w:t>
      </w:r>
    </w:p>
    <w:p w:rsidR="00951104" w:rsidRDefault="00951104" w:rsidP="00951104">
      <w:pPr>
        <w:autoSpaceDE w:val="0"/>
        <w:autoSpaceDN w:val="0"/>
        <w:adjustRightInd w:val="0"/>
        <w:jc w:val="right"/>
        <w:outlineLvl w:val="0"/>
        <w:rPr>
          <w:rFonts w:cs="Times New Roman CYR"/>
        </w:rPr>
      </w:pPr>
    </w:p>
    <w:p w:rsidR="00951104" w:rsidRDefault="00951104" w:rsidP="00951104">
      <w:pPr>
        <w:autoSpaceDE w:val="0"/>
        <w:autoSpaceDN w:val="0"/>
        <w:adjustRightInd w:val="0"/>
        <w:outlineLvl w:val="0"/>
        <w:rPr>
          <w:rFonts w:cs="Times New Roman CYR"/>
        </w:rPr>
      </w:pPr>
    </w:p>
    <w:p w:rsidR="00951104" w:rsidRPr="00C033AC" w:rsidRDefault="00951104" w:rsidP="00951104">
      <w:pPr>
        <w:pStyle w:val="a4"/>
        <w:jc w:val="center"/>
        <w:rPr>
          <w:b/>
        </w:rPr>
      </w:pPr>
      <w:r w:rsidRPr="00C033AC">
        <w:rPr>
          <w:b/>
        </w:rPr>
        <w:t>РАСЧЕТ</w:t>
      </w:r>
    </w:p>
    <w:p w:rsidR="00951104" w:rsidRPr="00C033AC" w:rsidRDefault="00951104" w:rsidP="00951104">
      <w:pPr>
        <w:pStyle w:val="a4"/>
        <w:jc w:val="center"/>
        <w:rPr>
          <w:b/>
        </w:rPr>
      </w:pPr>
      <w:r w:rsidRPr="00C033AC">
        <w:rPr>
          <w:b/>
        </w:rPr>
        <w:t>ПОРОГОВОГО ЗНАЧЕНИЯ ДОХОДА, ПРИХОДЯЩЕГОСЯ НА КАЖДОГО ЧЛЕНА</w:t>
      </w:r>
    </w:p>
    <w:p w:rsidR="00951104" w:rsidRPr="00C033AC" w:rsidRDefault="00951104" w:rsidP="00951104">
      <w:pPr>
        <w:pStyle w:val="a4"/>
        <w:jc w:val="center"/>
        <w:rPr>
          <w:b/>
        </w:rPr>
      </w:pPr>
      <w:r w:rsidRPr="00C033AC">
        <w:rPr>
          <w:b/>
        </w:rPr>
        <w:t>СЕМЬИ И ПОРОГОВОГО ЗНАЧЕНИЯ СТОИМОСТИ ИМУЩЕСТВА,</w:t>
      </w:r>
    </w:p>
    <w:p w:rsidR="00951104" w:rsidRPr="00C033AC" w:rsidRDefault="00951104" w:rsidP="00951104">
      <w:pPr>
        <w:pStyle w:val="a4"/>
        <w:jc w:val="center"/>
        <w:rPr>
          <w:b/>
        </w:rPr>
      </w:pPr>
      <w:r w:rsidRPr="00C033AC">
        <w:rPr>
          <w:b/>
        </w:rPr>
        <w:t>НАХОДЯЩЕГОСЯ В СОБСТВЕННОСТИ ЧЛЕНОВ СЕМЬИ И ПОДЛЕЖАЩЕГО</w:t>
      </w:r>
    </w:p>
    <w:p w:rsidR="00951104" w:rsidRPr="00C033AC" w:rsidRDefault="00951104" w:rsidP="00951104">
      <w:pPr>
        <w:pStyle w:val="a4"/>
        <w:jc w:val="center"/>
        <w:rPr>
          <w:b/>
        </w:rPr>
      </w:pPr>
      <w:r w:rsidRPr="00C033AC">
        <w:rPr>
          <w:b/>
        </w:rPr>
        <w:t xml:space="preserve">НАЛОГООБЛОЖЕНИЮ, В ЦЕЛЯХ ПРИЗНАНИЯ ГРАЖДАН </w:t>
      </w:r>
      <w:proofErr w:type="gramStart"/>
      <w:r w:rsidRPr="00C033AC">
        <w:rPr>
          <w:b/>
        </w:rPr>
        <w:t>МАЛОИМУЩИМИ</w:t>
      </w:r>
      <w:proofErr w:type="gramEnd"/>
    </w:p>
    <w:p w:rsidR="00951104" w:rsidRPr="00C033AC" w:rsidRDefault="00951104" w:rsidP="00951104">
      <w:pPr>
        <w:pStyle w:val="a4"/>
        <w:jc w:val="center"/>
        <w:rPr>
          <w:b/>
        </w:rPr>
      </w:pPr>
      <w:r w:rsidRPr="00C033AC">
        <w:rPr>
          <w:b/>
        </w:rPr>
        <w:t xml:space="preserve">И ПРЕДОСТАВЛЕНИЯ ИМ ПО ДОГОВОРАМ СОЦИАЛЬНОГО НАЙМА </w:t>
      </w:r>
      <w:proofErr w:type="gramStart"/>
      <w:r w:rsidRPr="00C033AC">
        <w:rPr>
          <w:b/>
        </w:rPr>
        <w:t>ЖИЛЫХ</w:t>
      </w:r>
      <w:proofErr w:type="gramEnd"/>
    </w:p>
    <w:p w:rsidR="00951104" w:rsidRPr="00C033AC" w:rsidRDefault="00951104" w:rsidP="00951104">
      <w:pPr>
        <w:pStyle w:val="a4"/>
        <w:jc w:val="center"/>
        <w:rPr>
          <w:b/>
        </w:rPr>
      </w:pPr>
      <w:r w:rsidRPr="00C033AC">
        <w:rPr>
          <w:b/>
        </w:rPr>
        <w:t>ПОМЕЩЕНИЙ МУНИЦИПАЛЬНОГО ЖИЛИЩНОГО ФОНДА НА 202</w:t>
      </w:r>
      <w:r>
        <w:rPr>
          <w:b/>
        </w:rPr>
        <w:t>5</w:t>
      </w:r>
      <w:r w:rsidRPr="00C033AC">
        <w:rPr>
          <w:b/>
        </w:rPr>
        <w:t xml:space="preserve"> ГОД</w:t>
      </w:r>
    </w:p>
    <w:p w:rsidR="00951104" w:rsidRPr="00C033AC" w:rsidRDefault="00951104" w:rsidP="00951104">
      <w:pPr>
        <w:pStyle w:val="a4"/>
        <w:jc w:val="both"/>
      </w:pPr>
      <w:r w:rsidRPr="00C033AC">
        <w:t xml:space="preserve">  </w:t>
      </w:r>
    </w:p>
    <w:p w:rsidR="00951104" w:rsidRPr="00C033AC" w:rsidRDefault="00951104" w:rsidP="00951104">
      <w:pPr>
        <w:pStyle w:val="a4"/>
        <w:ind w:firstLine="567"/>
        <w:jc w:val="both"/>
      </w:pPr>
      <w:r w:rsidRPr="00C033AC">
        <w:t>Расчетный показатель рыночной стоимости приобретения жилых помещений по норме предоставления жилых помещений муниципального жилищного фонда по договорам соц</w:t>
      </w:r>
      <w:r w:rsidRPr="00C033AC">
        <w:t>и</w:t>
      </w:r>
      <w:r w:rsidRPr="00C033AC">
        <w:t xml:space="preserve">ального найма рассчитывается по формуле: </w:t>
      </w:r>
    </w:p>
    <w:p w:rsidR="00951104" w:rsidRPr="00C033AC" w:rsidRDefault="00951104" w:rsidP="00951104">
      <w:pPr>
        <w:pStyle w:val="a4"/>
        <w:jc w:val="both"/>
      </w:pPr>
      <w:r w:rsidRPr="00C033AC">
        <w:t xml:space="preserve">  </w:t>
      </w:r>
    </w:p>
    <w:p w:rsidR="00951104" w:rsidRPr="00C033AC" w:rsidRDefault="00951104" w:rsidP="00951104">
      <w:pPr>
        <w:pStyle w:val="a4"/>
        <w:ind w:firstLine="567"/>
        <w:jc w:val="both"/>
      </w:pPr>
      <w:r w:rsidRPr="00C033AC">
        <w:t xml:space="preserve">СЖ = НП * РС * РЦ, где: </w:t>
      </w:r>
    </w:p>
    <w:p w:rsidR="00951104" w:rsidRPr="00C033AC" w:rsidRDefault="00951104" w:rsidP="00951104">
      <w:pPr>
        <w:pStyle w:val="a4"/>
        <w:jc w:val="both"/>
      </w:pPr>
      <w:r w:rsidRPr="00C033AC">
        <w:t xml:space="preserve">  </w:t>
      </w:r>
    </w:p>
    <w:p w:rsidR="00951104" w:rsidRPr="00C033AC" w:rsidRDefault="00951104" w:rsidP="00951104">
      <w:pPr>
        <w:pStyle w:val="a4"/>
        <w:ind w:firstLine="567"/>
        <w:jc w:val="both"/>
      </w:pPr>
      <w:r w:rsidRPr="00C033AC">
        <w:t xml:space="preserve">СЖ - расчетный показатель рыночной стоимости приобретения жилого помещения по норме предоставления жилого помещения по договору социального найма; </w:t>
      </w:r>
    </w:p>
    <w:p w:rsidR="00951104" w:rsidRPr="00C033AC" w:rsidRDefault="00951104" w:rsidP="00951104">
      <w:pPr>
        <w:pStyle w:val="a4"/>
        <w:ind w:firstLine="567"/>
        <w:jc w:val="both"/>
      </w:pPr>
      <w:r w:rsidRPr="00C033AC">
        <w:t xml:space="preserve">НП - норма предоставления жилого помещения на одного члена семьи: </w:t>
      </w:r>
    </w:p>
    <w:p w:rsidR="00951104" w:rsidRPr="00C033AC" w:rsidRDefault="00951104" w:rsidP="00951104">
      <w:pPr>
        <w:pStyle w:val="a4"/>
        <w:ind w:firstLine="567"/>
        <w:jc w:val="both"/>
      </w:pPr>
      <w:r w:rsidRPr="00C033AC">
        <w:t xml:space="preserve">- 18 квадратных метров общей площади жилого помещения на одного члена семьи из трех и более человек; </w:t>
      </w:r>
    </w:p>
    <w:p w:rsidR="00951104" w:rsidRPr="00C033AC" w:rsidRDefault="00951104" w:rsidP="00951104">
      <w:pPr>
        <w:pStyle w:val="a4"/>
        <w:ind w:firstLine="567"/>
        <w:jc w:val="both"/>
      </w:pPr>
      <w:r w:rsidRPr="00C033AC">
        <w:t xml:space="preserve">- 33 </w:t>
      </w:r>
      <w:proofErr w:type="gramStart"/>
      <w:r w:rsidRPr="00C033AC">
        <w:t>квадратных</w:t>
      </w:r>
      <w:proofErr w:type="gramEnd"/>
      <w:r w:rsidRPr="00C033AC">
        <w:t xml:space="preserve"> метра общей площади жилого помещения на одиноко проживающего; </w:t>
      </w:r>
    </w:p>
    <w:p w:rsidR="00951104" w:rsidRPr="00C033AC" w:rsidRDefault="00951104" w:rsidP="00951104">
      <w:pPr>
        <w:pStyle w:val="a4"/>
        <w:ind w:firstLine="567"/>
        <w:jc w:val="both"/>
      </w:pPr>
      <w:r w:rsidRPr="00C033AC">
        <w:t xml:space="preserve">- 42 квадратных метра общей площади жилого помещения на семью из двух человек; </w:t>
      </w:r>
    </w:p>
    <w:p w:rsidR="00951104" w:rsidRPr="00C033AC" w:rsidRDefault="00951104" w:rsidP="00951104">
      <w:pPr>
        <w:pStyle w:val="a4"/>
        <w:ind w:firstLine="567"/>
        <w:jc w:val="both"/>
      </w:pPr>
      <w:r w:rsidRPr="00C033AC">
        <w:t xml:space="preserve">РС - размер семьи; </w:t>
      </w:r>
    </w:p>
    <w:p w:rsidR="00951104" w:rsidRDefault="00951104" w:rsidP="00951104">
      <w:pPr>
        <w:pStyle w:val="a4"/>
        <w:ind w:firstLine="567"/>
        <w:jc w:val="both"/>
      </w:pPr>
      <w:r w:rsidRPr="00C033AC">
        <w:t xml:space="preserve">РЦ - средняя расчетная рыночная цена 1 квадратного метра площади жилья. </w:t>
      </w:r>
      <w:proofErr w:type="gramStart"/>
      <w:r w:rsidRPr="00C033AC">
        <w:t>Согласно приказу Министерства сельского хозяйства Республики Калмыкия от 11.05.2023 № 111-п «Об утверждении средней рыночной стоимости 1 кв. метра общей площади жилого помещения на сельских территориях (сельских агломерациях) на 2024 год» средняя рыночная стоимость о</w:t>
      </w:r>
      <w:r w:rsidRPr="00C033AC">
        <w:t>д</w:t>
      </w:r>
      <w:r w:rsidRPr="00C033AC">
        <w:t>ного квадратного метра общей площади жилого помещения на сельских территориях (сел</w:t>
      </w:r>
      <w:r w:rsidRPr="00C033AC">
        <w:t>ь</w:t>
      </w:r>
      <w:r w:rsidRPr="00C033AC">
        <w:t xml:space="preserve">ских агломерациях) по Республике Калмыкия в 2024 году составляет 53 753 руб. </w:t>
      </w:r>
      <w:proofErr w:type="gramEnd"/>
    </w:p>
    <w:p w:rsidR="00951104" w:rsidRPr="00C033AC" w:rsidRDefault="00951104" w:rsidP="00951104">
      <w:pPr>
        <w:pStyle w:val="a4"/>
        <w:ind w:firstLine="567"/>
        <w:jc w:val="both"/>
      </w:pPr>
    </w:p>
    <w:p w:rsidR="00951104" w:rsidRPr="00C033AC" w:rsidRDefault="00951104" w:rsidP="00951104">
      <w:pPr>
        <w:pStyle w:val="a4"/>
        <w:ind w:firstLine="567"/>
        <w:jc w:val="both"/>
      </w:pPr>
      <w:r w:rsidRPr="00C033AC">
        <w:t>Определим расчетный показатель рыночной стоимости приобретения жилого помещ</w:t>
      </w:r>
      <w:r w:rsidRPr="00C033AC">
        <w:t>е</w:t>
      </w:r>
      <w:r w:rsidRPr="00C033AC">
        <w:t xml:space="preserve">ния по норме предоставления жилого помещения по договору социального найма: </w:t>
      </w:r>
    </w:p>
    <w:p w:rsidR="00951104" w:rsidRPr="00C033AC" w:rsidRDefault="00951104" w:rsidP="00951104">
      <w:pPr>
        <w:pStyle w:val="a4"/>
        <w:ind w:firstLine="567"/>
        <w:jc w:val="both"/>
      </w:pPr>
      <w:r w:rsidRPr="00C033AC">
        <w:t xml:space="preserve">СЖ - для одиноко проживающего = 33 кв. м * 53 753 руб. = 1 773 849 руб.; </w:t>
      </w:r>
    </w:p>
    <w:p w:rsidR="00951104" w:rsidRPr="00C033AC" w:rsidRDefault="00951104" w:rsidP="00951104">
      <w:pPr>
        <w:pStyle w:val="a4"/>
        <w:ind w:firstLine="567"/>
        <w:jc w:val="both"/>
      </w:pPr>
      <w:r w:rsidRPr="00C033AC">
        <w:t xml:space="preserve">СЖ - для семьи из 2 человек = 42 кв. м *53 753 руб. = 2 527 626 руб.; </w:t>
      </w:r>
    </w:p>
    <w:p w:rsidR="00951104" w:rsidRPr="00C033AC" w:rsidRDefault="00951104" w:rsidP="00951104">
      <w:pPr>
        <w:pStyle w:val="a4"/>
        <w:ind w:firstLine="567"/>
        <w:jc w:val="both"/>
      </w:pPr>
      <w:r w:rsidRPr="00C033AC">
        <w:t xml:space="preserve">СЖ - для семьи из 3 человек = 18 кв. м * 53 753 руб. * 3 чел. = 2 902 662 руб. или 967 554 руб. * 3 чел.; </w:t>
      </w:r>
    </w:p>
    <w:p w:rsidR="00951104" w:rsidRPr="00C033AC" w:rsidRDefault="00951104" w:rsidP="00951104">
      <w:pPr>
        <w:pStyle w:val="a4"/>
        <w:ind w:firstLine="567"/>
        <w:jc w:val="both"/>
      </w:pPr>
      <w:r w:rsidRPr="00C033AC">
        <w:t xml:space="preserve">СЖ - для семьи из 4 человек = 18 кв. м * 53 753  руб. * 4 чел. = 3 870 216 руб. или 967 554 руб. * 4 чел.; </w:t>
      </w:r>
    </w:p>
    <w:p w:rsidR="00951104" w:rsidRDefault="00951104" w:rsidP="00951104">
      <w:pPr>
        <w:pStyle w:val="a4"/>
        <w:ind w:firstLine="567"/>
        <w:jc w:val="both"/>
      </w:pPr>
      <w:r w:rsidRPr="00C033AC">
        <w:t xml:space="preserve">СЖ - для семьи из 5 человек = 18 кв. м * 53 753  руб. *5 чел. = 4 837 770 руб. или 967 554  руб. * 5 чел. </w:t>
      </w:r>
    </w:p>
    <w:p w:rsidR="00951104" w:rsidRPr="00C033AC" w:rsidRDefault="00951104" w:rsidP="00951104">
      <w:pPr>
        <w:pStyle w:val="a4"/>
        <w:ind w:firstLine="567"/>
        <w:jc w:val="both"/>
      </w:pPr>
    </w:p>
    <w:p w:rsidR="00951104" w:rsidRDefault="00951104" w:rsidP="00951104">
      <w:pPr>
        <w:pStyle w:val="a4"/>
        <w:ind w:firstLine="567"/>
        <w:jc w:val="both"/>
      </w:pPr>
      <w:r w:rsidRPr="00C033AC">
        <w:t>Для семьи из 3 человек и более установлена одна норма предоставления жилья на ка</w:t>
      </w:r>
      <w:r w:rsidRPr="00C033AC">
        <w:t>ж</w:t>
      </w:r>
      <w:r w:rsidRPr="00C033AC">
        <w:t xml:space="preserve">дого члена семьи - 18 кв. м. В связи с чем, предлагается установить СЖ на каждого </w:t>
      </w:r>
      <w:r w:rsidRPr="00C033AC">
        <w:lastRenderedPageBreak/>
        <w:t>члена с</w:t>
      </w:r>
      <w:r w:rsidRPr="00C033AC">
        <w:t>е</w:t>
      </w:r>
      <w:r w:rsidRPr="00C033AC">
        <w:t>мьи из 3 человек и более, которая будет составлять 53 753 руб. * 18 кв. м = 967 554 руб.</w:t>
      </w:r>
    </w:p>
    <w:p w:rsidR="00951104" w:rsidRPr="00C033AC" w:rsidRDefault="00951104" w:rsidP="00951104">
      <w:pPr>
        <w:pStyle w:val="a4"/>
        <w:ind w:firstLine="567"/>
        <w:jc w:val="both"/>
      </w:pPr>
      <w:r w:rsidRPr="00C033AC">
        <w:t xml:space="preserve"> </w:t>
      </w:r>
    </w:p>
    <w:p w:rsidR="00951104" w:rsidRDefault="00951104" w:rsidP="00951104">
      <w:pPr>
        <w:pStyle w:val="a4"/>
        <w:ind w:firstLine="567"/>
        <w:jc w:val="both"/>
      </w:pPr>
      <w:proofErr w:type="gramStart"/>
      <w:r w:rsidRPr="00C033AC">
        <w:t>На основании статьи 14 "Порядок расчета порогового значения дохода и стоимости имущества, находящегося в собственности заявителя и членов семьи" Закона Республики Калмыкия от 3 ноября 2011 года N 296-IV-З "О правовом регулировании отдельных вопросов в сфере жилищных отношений", пороговое значение стоимости имущества, находящегося в собственности членов семьи и подлежащего налогообложению, принимается равным расче</w:t>
      </w:r>
      <w:r w:rsidRPr="00C033AC">
        <w:t>т</w:t>
      </w:r>
      <w:r w:rsidRPr="00C033AC">
        <w:t xml:space="preserve">ному показателю рыночной стоимости жилого помещения СЖ. </w:t>
      </w:r>
      <w:proofErr w:type="gramEnd"/>
    </w:p>
    <w:p w:rsidR="00951104" w:rsidRPr="00C033AC" w:rsidRDefault="00951104" w:rsidP="00951104">
      <w:pPr>
        <w:pStyle w:val="a4"/>
        <w:ind w:firstLine="567"/>
        <w:jc w:val="both"/>
      </w:pPr>
    </w:p>
    <w:p w:rsidR="00951104" w:rsidRPr="00C033AC" w:rsidRDefault="00951104" w:rsidP="00951104">
      <w:pPr>
        <w:pStyle w:val="a4"/>
        <w:ind w:firstLine="567"/>
        <w:jc w:val="both"/>
      </w:pPr>
      <w:r w:rsidRPr="00C033AC">
        <w:t>Следовательно, пороговое значение стоимости имущества, находящегося в собственн</w:t>
      </w:r>
      <w:r w:rsidRPr="00C033AC">
        <w:t>о</w:t>
      </w:r>
      <w:r w:rsidRPr="00C033AC">
        <w:t xml:space="preserve">сти членов семьи и подлежащего налогообложению, равно: </w:t>
      </w:r>
    </w:p>
    <w:p w:rsidR="00951104" w:rsidRPr="00C033AC" w:rsidRDefault="00951104" w:rsidP="00951104">
      <w:pPr>
        <w:pStyle w:val="a4"/>
        <w:ind w:firstLine="567"/>
        <w:jc w:val="both"/>
      </w:pPr>
      <w:r w:rsidRPr="00C033AC">
        <w:t xml:space="preserve">- для одиноко проживающего - 1 773 849 руб.; </w:t>
      </w:r>
    </w:p>
    <w:p w:rsidR="00951104" w:rsidRPr="00C033AC" w:rsidRDefault="00951104" w:rsidP="00951104">
      <w:pPr>
        <w:pStyle w:val="a4"/>
        <w:ind w:firstLine="567"/>
        <w:jc w:val="both"/>
      </w:pPr>
      <w:r w:rsidRPr="00C033AC">
        <w:t xml:space="preserve">- для семьи из 2 человек - 2 527 626 руб.; </w:t>
      </w:r>
    </w:p>
    <w:p w:rsidR="00951104" w:rsidRPr="00C033AC" w:rsidRDefault="00951104" w:rsidP="00951104">
      <w:pPr>
        <w:pStyle w:val="a4"/>
        <w:ind w:firstLine="567"/>
        <w:jc w:val="both"/>
      </w:pPr>
      <w:r w:rsidRPr="00C033AC">
        <w:t xml:space="preserve">- для семьи из 3 человек и более - 967 554 руб. на каждого члена семьи. </w:t>
      </w:r>
    </w:p>
    <w:p w:rsidR="00951104" w:rsidRPr="00C033AC" w:rsidRDefault="00951104" w:rsidP="00951104">
      <w:pPr>
        <w:pStyle w:val="a4"/>
        <w:ind w:firstLine="567"/>
        <w:jc w:val="both"/>
      </w:pPr>
      <w:r w:rsidRPr="00C033AC">
        <w:t>Для расчета порогового значения дохода используется формула по определению пор</w:t>
      </w:r>
      <w:r w:rsidRPr="00C033AC">
        <w:t>о</w:t>
      </w:r>
      <w:r w:rsidRPr="00C033AC">
        <w:t>гового значения среднемесячного совокупного дохода на каждого члена семьи, определенная статьей 14 Закона Республики Калмыкия от 3 ноября 2011 года N 296-IV-З "О правовом рег</w:t>
      </w:r>
      <w:r w:rsidRPr="00C033AC">
        <w:t>у</w:t>
      </w:r>
      <w:r w:rsidRPr="00C033AC">
        <w:t xml:space="preserve">лировании отдельных вопросов в сфере жилищных отношений": </w:t>
      </w:r>
    </w:p>
    <w:p w:rsidR="00951104" w:rsidRPr="00C033AC" w:rsidRDefault="00951104" w:rsidP="00951104">
      <w:pPr>
        <w:pStyle w:val="a4"/>
        <w:jc w:val="both"/>
      </w:pPr>
      <w:r w:rsidRPr="00C033AC">
        <w:t xml:space="preserve">  </w:t>
      </w:r>
    </w:p>
    <w:p w:rsidR="00951104" w:rsidRPr="00C033AC" w:rsidRDefault="00951104" w:rsidP="00951104">
      <w:pPr>
        <w:pStyle w:val="a4"/>
        <w:ind w:firstLine="567"/>
        <w:jc w:val="both"/>
      </w:pPr>
      <w:r w:rsidRPr="00C033AC">
        <w:t>ПД = (СЖ/</w:t>
      </w:r>
      <w:proofErr w:type="gramStart"/>
      <w:r w:rsidRPr="00C033AC">
        <w:t>ПН</w:t>
      </w:r>
      <w:proofErr w:type="gramEnd"/>
      <w:r w:rsidRPr="00C033AC">
        <w:t xml:space="preserve">) / РС + ПМ, где: </w:t>
      </w:r>
    </w:p>
    <w:p w:rsidR="00951104" w:rsidRPr="00C033AC" w:rsidRDefault="00951104" w:rsidP="00951104">
      <w:pPr>
        <w:pStyle w:val="a4"/>
        <w:jc w:val="both"/>
      </w:pPr>
      <w:r w:rsidRPr="00C033AC">
        <w:t xml:space="preserve">  </w:t>
      </w:r>
    </w:p>
    <w:p w:rsidR="00951104" w:rsidRPr="00C033AC" w:rsidRDefault="00951104" w:rsidP="00951104">
      <w:pPr>
        <w:pStyle w:val="a4"/>
        <w:ind w:firstLine="567"/>
        <w:jc w:val="both"/>
      </w:pPr>
      <w:r w:rsidRPr="00C033AC">
        <w:t xml:space="preserve">ПД - порог среднемесячного размера дохода, приходящегося на каждого члена семьи; </w:t>
      </w:r>
    </w:p>
    <w:p w:rsidR="00951104" w:rsidRPr="00C033AC" w:rsidRDefault="00951104" w:rsidP="00951104">
      <w:pPr>
        <w:pStyle w:val="a4"/>
        <w:ind w:firstLine="567"/>
        <w:jc w:val="both"/>
      </w:pPr>
      <w:r w:rsidRPr="00C033AC">
        <w:t xml:space="preserve">СЖ - расчетный показатель рыночной стоимости приобретения жилого помещения по норме предоставления жилого помещения по договору социального найма; </w:t>
      </w:r>
    </w:p>
    <w:p w:rsidR="00951104" w:rsidRPr="00C033AC" w:rsidRDefault="00951104" w:rsidP="00951104">
      <w:pPr>
        <w:pStyle w:val="a4"/>
        <w:ind w:firstLine="567"/>
        <w:jc w:val="both"/>
      </w:pPr>
      <w:r w:rsidRPr="00C033AC">
        <w:t xml:space="preserve">РС - размер семьи; </w:t>
      </w:r>
    </w:p>
    <w:p w:rsidR="00951104" w:rsidRPr="00C033AC" w:rsidRDefault="00951104" w:rsidP="00951104">
      <w:pPr>
        <w:pStyle w:val="a4"/>
        <w:ind w:firstLine="567"/>
        <w:jc w:val="both"/>
      </w:pPr>
      <w:proofErr w:type="gramStart"/>
      <w:r w:rsidRPr="00C033AC">
        <w:t>ПН</w:t>
      </w:r>
      <w:proofErr w:type="gramEnd"/>
      <w:r w:rsidRPr="00C033AC">
        <w:t xml:space="preserve"> - установленный период накоплений в месяцах. Согласно Закону Республики Ка</w:t>
      </w:r>
      <w:r w:rsidRPr="00C033AC">
        <w:t>л</w:t>
      </w:r>
      <w:r w:rsidRPr="00C033AC">
        <w:t>мыкия от 3 ноября 2011 года N 296-IV-З "О правовом регулировании отдельных вопросов в сфере жилищных отношений" средний период накопления по Республике Калмыкия соста</w:t>
      </w:r>
      <w:r w:rsidRPr="00C033AC">
        <w:t>в</w:t>
      </w:r>
      <w:r w:rsidRPr="00C033AC">
        <w:t xml:space="preserve">ляет 15 лет или 180 месяцев; </w:t>
      </w:r>
    </w:p>
    <w:p w:rsidR="00951104" w:rsidRDefault="00951104" w:rsidP="00951104">
      <w:pPr>
        <w:pStyle w:val="a4"/>
        <w:ind w:firstLine="567"/>
        <w:jc w:val="both"/>
      </w:pPr>
      <w:r w:rsidRPr="00C033AC">
        <w:t xml:space="preserve">ПМ - среднемесячный минимальный уровень дохода на одного человека (прожиточный минимум на одного члена семьи). Величина среднемесячного минимального уровня дохода на одного человека приравнивается к величине прожиточного минимума на душу населения в целом по Республике Калмыкия, устанавливаемой Правительством Республики Калмыкия. </w:t>
      </w:r>
    </w:p>
    <w:p w:rsidR="00951104" w:rsidRPr="00C033AC" w:rsidRDefault="00951104" w:rsidP="00951104">
      <w:pPr>
        <w:pStyle w:val="a4"/>
        <w:ind w:firstLine="567"/>
        <w:jc w:val="both"/>
      </w:pPr>
    </w:p>
    <w:p w:rsidR="00951104" w:rsidRDefault="00951104" w:rsidP="00951104">
      <w:pPr>
        <w:pStyle w:val="a4"/>
        <w:ind w:firstLine="567"/>
        <w:jc w:val="both"/>
      </w:pPr>
      <w:r w:rsidRPr="00C033AC">
        <w:t>Постановлением Правительства Республики Калмыкия от 19.08.2024 № 251 с 1 января 2025 года величина прожиточного уровня в целом по Республике Калмыкия в расчете на д</w:t>
      </w:r>
      <w:r w:rsidRPr="00C033AC">
        <w:t>у</w:t>
      </w:r>
      <w:r w:rsidRPr="00C033AC">
        <w:t xml:space="preserve">шу населения установлена на 2025 год в размере 17 378 рублей. </w:t>
      </w:r>
    </w:p>
    <w:p w:rsidR="00951104" w:rsidRPr="00C033AC" w:rsidRDefault="00951104" w:rsidP="00951104">
      <w:pPr>
        <w:pStyle w:val="a4"/>
        <w:ind w:firstLine="567"/>
        <w:jc w:val="both"/>
      </w:pPr>
    </w:p>
    <w:p w:rsidR="00951104" w:rsidRPr="00C033AC" w:rsidRDefault="00951104" w:rsidP="00951104">
      <w:pPr>
        <w:pStyle w:val="a4"/>
        <w:ind w:firstLine="567"/>
        <w:jc w:val="both"/>
      </w:pPr>
      <w:r w:rsidRPr="00C033AC">
        <w:t>Учитывая все исходные данные, определяем размер порогового значения дохода, прих</w:t>
      </w:r>
      <w:r w:rsidRPr="00C033AC">
        <w:t>о</w:t>
      </w:r>
      <w:r w:rsidRPr="00C033AC">
        <w:t xml:space="preserve">дящегося на каждого члена семьи, в целях признания граждан </w:t>
      </w:r>
      <w:proofErr w:type="gramStart"/>
      <w:r w:rsidRPr="00C033AC">
        <w:t>малоимущими</w:t>
      </w:r>
      <w:proofErr w:type="gramEnd"/>
      <w:r w:rsidRPr="00C033AC">
        <w:t xml:space="preserve"> (ПД): </w:t>
      </w:r>
    </w:p>
    <w:p w:rsidR="00951104" w:rsidRPr="00C033AC" w:rsidRDefault="00951104" w:rsidP="00951104">
      <w:pPr>
        <w:pStyle w:val="a4"/>
        <w:ind w:firstLine="567"/>
        <w:jc w:val="both"/>
      </w:pPr>
      <w:r w:rsidRPr="00C033AC">
        <w:t xml:space="preserve">- для одиноко проживающего </w:t>
      </w:r>
    </w:p>
    <w:p w:rsidR="00951104" w:rsidRPr="00C033AC" w:rsidRDefault="00951104" w:rsidP="00951104">
      <w:pPr>
        <w:pStyle w:val="a4"/>
        <w:jc w:val="both"/>
      </w:pPr>
      <w:r w:rsidRPr="00C033AC">
        <w:t xml:space="preserve">1 773 849 руб. / 180 мес. / 1 + 17 378 руб. = 27 233 руб.; </w:t>
      </w:r>
    </w:p>
    <w:p w:rsidR="00951104" w:rsidRPr="00C033AC" w:rsidRDefault="00951104" w:rsidP="00951104">
      <w:pPr>
        <w:pStyle w:val="a4"/>
        <w:ind w:firstLine="567"/>
        <w:jc w:val="both"/>
      </w:pPr>
      <w:r w:rsidRPr="00C033AC">
        <w:t xml:space="preserve">- для семьи из 2 человек </w:t>
      </w:r>
    </w:p>
    <w:p w:rsidR="00951104" w:rsidRPr="00C033AC" w:rsidRDefault="00951104" w:rsidP="00951104">
      <w:pPr>
        <w:pStyle w:val="a4"/>
        <w:jc w:val="both"/>
      </w:pPr>
      <w:r w:rsidRPr="00C033AC">
        <w:t xml:space="preserve">2 527 626 руб. / 180 мес. / 2 + 17 378 руб. = 24 399 руб.; </w:t>
      </w:r>
    </w:p>
    <w:p w:rsidR="00951104" w:rsidRPr="00C033AC" w:rsidRDefault="00951104" w:rsidP="00951104">
      <w:pPr>
        <w:pStyle w:val="a4"/>
        <w:ind w:firstLine="567"/>
        <w:jc w:val="both"/>
      </w:pPr>
      <w:r w:rsidRPr="00C033AC">
        <w:t xml:space="preserve">- для семьи из 3 человек </w:t>
      </w:r>
    </w:p>
    <w:p w:rsidR="00951104" w:rsidRPr="00C033AC" w:rsidRDefault="00951104" w:rsidP="00951104">
      <w:pPr>
        <w:pStyle w:val="a4"/>
        <w:jc w:val="both"/>
      </w:pPr>
      <w:r w:rsidRPr="00C033AC">
        <w:t xml:space="preserve">2 902 662 руб. / 180 мес. / 3 чел. + 17 378 руб. = 22 753 руб.; </w:t>
      </w:r>
    </w:p>
    <w:p w:rsidR="00951104" w:rsidRPr="00C033AC" w:rsidRDefault="00951104" w:rsidP="00951104">
      <w:pPr>
        <w:pStyle w:val="a4"/>
        <w:ind w:firstLine="567"/>
        <w:jc w:val="both"/>
      </w:pPr>
      <w:r w:rsidRPr="00C033AC">
        <w:t xml:space="preserve">- для семьи из 4 человек </w:t>
      </w:r>
    </w:p>
    <w:p w:rsidR="00951104" w:rsidRPr="00C033AC" w:rsidRDefault="00951104" w:rsidP="00951104">
      <w:pPr>
        <w:pStyle w:val="a4"/>
        <w:jc w:val="both"/>
      </w:pPr>
      <w:r w:rsidRPr="00C033AC">
        <w:t xml:space="preserve">3 870 216 руб. / 180 мес. / 4 чел. + 17 378 руб. = 22 753 руб. </w:t>
      </w:r>
    </w:p>
    <w:p w:rsidR="00951104" w:rsidRPr="00C033AC" w:rsidRDefault="00951104" w:rsidP="00951104">
      <w:pPr>
        <w:pStyle w:val="a4"/>
        <w:jc w:val="both"/>
      </w:pPr>
    </w:p>
    <w:p w:rsidR="00951104" w:rsidRPr="00C033AC" w:rsidRDefault="00951104" w:rsidP="00951104">
      <w:pPr>
        <w:pStyle w:val="a4"/>
        <w:jc w:val="both"/>
      </w:pPr>
    </w:p>
    <w:p w:rsidR="00951104" w:rsidRPr="00C033AC" w:rsidRDefault="00951104" w:rsidP="00951104">
      <w:pPr>
        <w:pStyle w:val="a4"/>
        <w:jc w:val="both"/>
      </w:pPr>
    </w:p>
    <w:p w:rsidR="00951104" w:rsidRDefault="00951104" w:rsidP="00951104"/>
    <w:p w:rsidR="00951104" w:rsidRDefault="00951104" w:rsidP="00951104"/>
    <w:p w:rsidR="00951104" w:rsidRDefault="00951104" w:rsidP="00951104"/>
    <w:p w:rsidR="00951104" w:rsidRDefault="00951104" w:rsidP="00951104"/>
    <w:p w:rsidR="00951104" w:rsidRDefault="00951104" w:rsidP="00951104"/>
    <w:p w:rsidR="00951104" w:rsidRDefault="00951104" w:rsidP="00951104"/>
    <w:p w:rsidR="00951104" w:rsidRDefault="00951104" w:rsidP="00951104"/>
    <w:p w:rsidR="009D3552" w:rsidRDefault="009D3552"/>
    <w:sectPr w:rsidR="009D35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552"/>
    <w:rsid w:val="00951104"/>
    <w:rsid w:val="009D3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1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951104"/>
    <w:pPr>
      <w:spacing w:before="100" w:after="100"/>
    </w:pPr>
    <w:rPr>
      <w:rFonts w:ascii="Arial Unicode MS" w:hAnsi="Arial Unicode MS"/>
      <w:lang w:eastAsia="en-US"/>
    </w:rPr>
  </w:style>
  <w:style w:type="paragraph" w:styleId="a4">
    <w:name w:val="No Spacing"/>
    <w:uiPriority w:val="1"/>
    <w:qFormat/>
    <w:rsid w:val="009511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5110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5110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1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951104"/>
    <w:pPr>
      <w:spacing w:before="100" w:after="100"/>
    </w:pPr>
    <w:rPr>
      <w:rFonts w:ascii="Arial Unicode MS" w:hAnsi="Arial Unicode MS"/>
      <w:lang w:eastAsia="en-US"/>
    </w:rPr>
  </w:style>
  <w:style w:type="paragraph" w:styleId="a4">
    <w:name w:val="No Spacing"/>
    <w:uiPriority w:val="1"/>
    <w:qFormat/>
    <w:rsid w:val="009511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5110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5110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1110</Words>
  <Characters>6329</Characters>
  <Application>Microsoft Office Word</Application>
  <DocSecurity>0</DocSecurity>
  <Lines>52</Lines>
  <Paragraphs>14</Paragraphs>
  <ScaleCrop>false</ScaleCrop>
  <Company/>
  <LinksUpToDate>false</LinksUpToDate>
  <CharactersWithSpaces>7425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2025-03-17T10:21:00Z</dcterms:created>
  <dcterms:modified xsi:type="dcterms:W3CDTF">2025-03-17T10:21:00Z</dcterms:modified>
</cp:coreProperties>
</file>