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6E4650" w:rsidRPr="006E4650" w:rsidTr="00CD14B2">
        <w:tc>
          <w:tcPr>
            <w:tcW w:w="4041" w:type="dxa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4650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AFFCCE" wp14:editId="018239E4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АДМИНИСТРАЦИЯ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46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E4650" w:rsidRPr="006E4650" w:rsidRDefault="006E4650" w:rsidP="006E4650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E4650">
        <w:rPr>
          <w:rFonts w:ascii="Times New Roman" w:eastAsia="Calibri" w:hAnsi="Times New Roman" w:cs="Times New Roman"/>
          <w:sz w:val="16"/>
          <w:szCs w:val="16"/>
        </w:rPr>
        <w:t>359317, Республика Калмыкия,  п. Барун  Юстинского района,  ул. Советская, 24  код /847 44/, тел. 99140</w:t>
      </w:r>
    </w:p>
    <w:p w:rsidR="006E4650" w:rsidRPr="006E4650" w:rsidRDefault="006E4650" w:rsidP="006E46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465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E4650" w:rsidRPr="006E4650" w:rsidRDefault="006E4650" w:rsidP="006E4650">
      <w:pPr>
        <w:rPr>
          <w:rFonts w:ascii="Times New Roman" w:eastAsia="Calibri" w:hAnsi="Times New Roman" w:cs="Times New Roman"/>
          <w:sz w:val="24"/>
          <w:szCs w:val="24"/>
        </w:rPr>
      </w:pPr>
      <w:r w:rsidRPr="006E4650">
        <w:rPr>
          <w:rFonts w:ascii="Times New Roman" w:eastAsia="Calibri" w:hAnsi="Times New Roman" w:cs="Times New Roman"/>
          <w:sz w:val="24"/>
          <w:szCs w:val="24"/>
        </w:rPr>
        <w:t>01.04.2024 г.                                                 № 13                                                           п. Барун</w:t>
      </w:r>
    </w:p>
    <w:p w:rsidR="006E4650" w:rsidRPr="006E4650" w:rsidRDefault="006E4650" w:rsidP="006E4650">
      <w:pPr>
        <w:widowControl w:val="0"/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Правила формирования перечня налоговых расходов </w:t>
      </w:r>
    </w:p>
    <w:p w:rsidR="006E4650" w:rsidRPr="006E4650" w:rsidRDefault="006E4650" w:rsidP="006E4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 сельского муниципального образования Республики Калмыкия и оценки налоговых расходов Барунского сельского муниципального образования Республики Калмыкия</w:t>
      </w:r>
    </w:p>
    <w:p w:rsidR="006E4650" w:rsidRPr="006E4650" w:rsidRDefault="006E4650" w:rsidP="006E4650">
      <w:pPr>
        <w:tabs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174.3 Бюджетного кодекса РФ, Постановлением Правительства РФ от 22.06.2019 года №796 «Об общих требованиях к оценке налоговых расходов субъектов Российской Федерации и муниципальных образований», администрация Барунского сельского муниципального образования Республики Калмыкия.</w:t>
      </w:r>
    </w:p>
    <w:p w:rsidR="006E4650" w:rsidRPr="006E4650" w:rsidRDefault="006E4650" w:rsidP="006E46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E4650" w:rsidRPr="006E4650" w:rsidRDefault="006E4650" w:rsidP="006E4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Утвердить прилагаемые Правила формирования перечня налоговых расходов  Барунского сельского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и оценки налоговых расходов Барунского сельского муниципального образования Республики Калмыкия.</w:t>
      </w:r>
    </w:p>
    <w:p w:rsidR="006E4650" w:rsidRPr="006E4650" w:rsidRDefault="006E4650" w:rsidP="006E4650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опубликованию на официальном сайте Барунского сельского муниципального образования Республики Калмыкия.</w:t>
      </w:r>
    </w:p>
    <w:p w:rsidR="006E4650" w:rsidRPr="006E4650" w:rsidRDefault="006E4650" w:rsidP="006E465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Настоящее постановление вступает в силу с 1 апреля 2024 года.</w:t>
      </w: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650">
        <w:rPr>
          <w:rFonts w:ascii="Times New Roman" w:eastAsia="Calibri" w:hAnsi="Times New Roman" w:cs="Times New Roman"/>
          <w:sz w:val="24"/>
          <w:szCs w:val="24"/>
        </w:rPr>
        <w:t xml:space="preserve">Глава Барунского </w:t>
      </w:r>
      <w:proofErr w:type="gramStart"/>
      <w:r w:rsidRPr="006E4650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6E4650" w:rsidRPr="006E4650" w:rsidRDefault="006E4650" w:rsidP="006E4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65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6E4650" w:rsidRPr="006E4650" w:rsidRDefault="006E4650" w:rsidP="006E46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4650">
        <w:rPr>
          <w:rFonts w:ascii="Times New Roman" w:eastAsia="Calibri" w:hAnsi="Times New Roman" w:cs="Times New Roman"/>
          <w:sz w:val="24"/>
          <w:szCs w:val="24"/>
        </w:rPr>
        <w:t>Республики Калмыкия (ахлачи)                                                                                Артаев П.Д.</w:t>
      </w: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Администрации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Барунского СМО РК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«1» апреля 2024 г. № 13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6E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перечня налоговых расходов</w:t>
      </w:r>
      <w:r w:rsidRPr="006E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Барунского сельского </w:t>
      </w: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Республики Калмыкия и оценки налоговых расходов Барунского сельского муниципального образования Республики Калмыкия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650" w:rsidRPr="006E4650" w:rsidRDefault="006E4650" w:rsidP="006E4650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E4650" w:rsidRPr="006E4650" w:rsidRDefault="006E4650" w:rsidP="006E4650">
      <w:pPr>
        <w:numPr>
          <w:ilvl w:val="0"/>
          <w:numId w:val="3"/>
        </w:numPr>
        <w:shd w:val="clear" w:color="auto" w:fill="FFFFFF"/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процедуру формирования перечня налоговых расходов Барунского сельского муниципального образования Республики Калмыкия, реестра налоговых расходов Барунского сельского муниципального образования Республики Калмыкия и методику оценки налоговых расходов Барунского сельского муниципального образования Республики Калмыкия (далее – Порядок, Барунского СМО РК).</w:t>
      </w:r>
    </w:p>
    <w:p w:rsidR="006E4650" w:rsidRPr="006E4650" w:rsidRDefault="006E4650" w:rsidP="006E4650">
      <w:pPr>
        <w:numPr>
          <w:ilvl w:val="0"/>
          <w:numId w:val="3"/>
        </w:numPr>
        <w:shd w:val="clear" w:color="auto" w:fill="FFFFFF"/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Порядка применяются следующие понятия и термины: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«налоговые расходы»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выпадающие доходы бюджета Барунского СМО РК,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Барунского СМО РК и (или) целями социально-экономической политики Барунского СМО РК, не относящимися к муниципальным программам СМО РК;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«куратор налогового расхода»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ответственный исполнитель муниципальной программы Барунского СМО РК,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Барунского СМО РК (ее структурных элементов) и (или) целей социально-экономического развития Барунского СМО РК, не относящихся к муниципальным программам Барунского СМО РК;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освобождения и иные преференции по налогам и сборам (далее - льготы), наименованиях налогов и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7" w:anchor="sub_11000" w:history="1">
        <w:r w:rsidRPr="006E46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приложению</w:t>
        </w:r>
      </w:hyperlink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1 к настоящему Порядку;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налоговых расходов» - комплекс мероприятий по оценке объемов налоговых расходов Барунского СМО РК, обусловленных льготами, предоставленными плательщикам, а также по оценке эффективности налоговых расходов Барунского СМО РК;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объемов налоговых расходов</w:t>
      </w: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определение объемов выпадающих доходов бюджета Барунского СМО РК, обусловленных льготами, предоставленными плательщикам;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«оценка эффективности налоговых расходов</w:t>
      </w: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Барунского СМО РК;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«паспорт налогового расхода</w:t>
      </w: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документ, содержащий сведения о нормативных, фискальных и целевых характеристиках налогового расхода Барунского СМО РК, составляемый куратором налогового расхода;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налоговых расходов» - документ, содержащий сведения о распределении налоговых расходов Барунского СМО РК в соответствии с целями муниципальных программ Барунского СМО РК, структурных элементов муниципальных программ Барунского СМО РК и (или) целями социально-экономической политики Барунского СМО 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РК, не относящимися к муниципальным программам Барунского СМО РК, а также о кураторах налоговых расходов;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«плановый период» - два финансовых года, следующие за очередным финансовым годом;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«плательщики» - плательщики налогов и сборов;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«социальные налоговые расходы» - целевая категория налоговых расходов Барунского СМО РК, обусловленных необходимостью обеспечения социальной защиты (поддержки) населения;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«стимулирующие налоговые расходы</w:t>
      </w: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целевая категория налоговых расходов Барунского СМО РК, предполагающих стимулирование экономической активности субъектов предпринимательской деятельности и последующее увеличение доходов бюджетов бюджетной системы Российской Федерации;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«технические налоговые расходы» - целевая категория налоговых расходов Барунского СМО РК,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«фискальные характеристики налоговых расходов</w:t>
      </w: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сведения об объеме льгот, предоставленных плательщикам, о численности получателей льгот, об объеме налогов и сборов, задекларированных ими для уплаты в бюджеты бюджетной системы Российской Федерации, а также иные характеристики, предусмотренные </w:t>
      </w:r>
      <w:hyperlink r:id="rId8" w:anchor="sub_11000" w:history="1">
        <w:r w:rsidRPr="006E46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приложением</w:t>
        </w:r>
      </w:hyperlink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2 к настоящему Порядку;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«целевые характеристики налоговых расходов» - сведения о целевой категории налоговых расходов Барунского СМО РК, целях предоставления плательщикам налоговых льгот, а также иные характеристики, предусмотренные </w:t>
      </w:r>
      <w:hyperlink r:id="rId9" w:anchor="sub_11000" w:history="1">
        <w:r w:rsidRPr="006E46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приложением</w:t>
        </w:r>
      </w:hyperlink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1 к настоящему Порядку.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целях оценки налоговых расходов Финансовое управление </w:t>
      </w:r>
      <w:r w:rsidRPr="006E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Юстинского</w:t>
      </w: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муниципального образования Республики Калмыкия (далее – ФУ ЮРМО РК):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перечень налоговых расходов согласно приложению 1 к настоящему Порядку;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обеспечивает сбор и формирование информации о нормативных, целевых и фискальных характеристиках налоговых расходов Барунского СМО РК, необходимой для проведения их оценки, в том числе формирует оценку объемов налоговых расходов Барунского СМО РК за отчетный финансовый год, а также оценку объемов налоговых расходов Барунского СМО РК на текущий финансовый год, очередной финансовый год и плановый период;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осуществляет обобщение результатов оценки эффективности налоговых расходов, проводимой кураторами налоговых расходов.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ведет реестр налоговых расходов;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оценки налоговых расходов кураторы налоговых расходов: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формируют паспорта налоговых расходов согласно приложению 1 к настоящему Порядку;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осуществляют оценку эффективности каждого курируемого налогового расхода и направляют результаты такой оценки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 ЮРМО РК.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перечня налоговых расходов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перечня налоговых расходов на очередной финансовый год и плановый период разрабатывается ФУ ЮРМО РК ежегодно в срок до 15 апреля и направляется на согласование ответственным исполнителям муниципальных программ Барунского СМО РК,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в пункте 5 настоящего Порядка органы, организации в срок до 10 мая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Барунского СМО РК, не относящимися к муниципальным программам, и определения кураторов налоговых расходов.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уточнению проекта перечня налоговых расходов направляются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 ЮРМО РК.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указанные замечания и предложения предполагают изменение куратора налогового расхода, такие замечания и предложения подлежат согласованию с предлагаемым куратором налогового расхода и направлению в ФУ ЮРМО РК в течение срока, указанного в </w:t>
      </w:r>
      <w:hyperlink r:id="rId10" w:anchor="sub_1007" w:history="1">
        <w:r w:rsidRPr="006E46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абзаце первом</w:t>
        </w:r>
      </w:hyperlink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пункта.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результаты рассмотрения не направлены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 ЮРМО РК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срока, указанного в абзаце первом настоящего пункта, проект перечня считается согласованным в соответствующей части.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замечания и предложения к отдельным позициям проекта перечня не содержат конкретных предложений по уточнению предлагаемого распределения налоговых расходов Барунского СМО РК в соответствии с целями муниципальных программ, структурных элементов муниципальных программ и (или) целями социально-экономической политики Барунского СМО РК, не относящимися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органов, организаций, указанных в пункте 5 настоящего Порядка. При наличии разногласий по проекту перечня налоговых расходов ФУ ЮРМО РК в срок до 20 мая обеспечивает проведение согласительных совещаний с соответствующими органами, организациями. Разногласия, не урегулированные по результатам совещаний до 30 мая, рассматриваются Межведомственной  комиссией по увеличению поступлений налоговых и </w:t>
      </w:r>
      <w:r w:rsidRPr="006E465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неналоговых доходов и погашению недоимки в консолидированный бюджет </w:t>
      </w:r>
      <w:r w:rsidRPr="006E4650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Юстинского</w:t>
      </w:r>
      <w:r w:rsidRPr="006E465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6E465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района РК.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7 рабочих дней после завершения процедур, указанных в пункте 6 настоящего Порядка, перечень налоговых расходов Барунского СМО РК размещается на официальном сайте Барунского СМО РК в информационно-телекоммуникационной сети «Интернет».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органов, организаций, указанных в пункте 5 настоящего Порядка, кураторы налоговых расходов в срок не позднее 10 рабочих дней с даты соответствующих изменений направляют в ФУ ЮРМО РК соответствующую информацию для уточнения перечня налоговых расходов.</w:t>
      </w:r>
      <w:proofErr w:type="gramEnd"/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Уточненный перечень налоговых расходов формируется в срок до 1 ноября (в случае уточнения структурных элементов муниципальных программ в рамках формирования проекта решения о бюджете Барунского СМО РК на очередной финансовый год и плановый период) и до 15 декабря текущего финансового года (в случае уточнения структурных элементов муниципальных программ в рамках рассмотрения и утверждения проекта решения о бюджете Барунского СМО РК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оценки налоговых расходов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Барунского С</w:t>
      </w:r>
      <w:r w:rsidRPr="006E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РК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Методики оценки эффективности налоговых расходов формируются кураторами соответствующих налоговых расходов и утверждаются ими по согласованию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 ЮРМО РК.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налоговых расходов Барунского СМО РК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Барунского СМО РК, не относящихся к муниципальным программам Барунского СМО РК. В целях оценки налоговых расходов Межрайонная инспекция Федеральной налоговой службы №3 по Республике Калмыкия представляет в Администрацию Барунского СМО РК информацию о фискальных характеристиках налоговых расходов Барунского СМО РК за отчетный финансовый год, а также информацию о стимулирующих налоговых расходах Барунского СМО РК за 6 лет, предшествующих отчетному финансовому году.</w:t>
      </w:r>
    </w:p>
    <w:p w:rsidR="006E4650" w:rsidRPr="006E4650" w:rsidRDefault="006E4650" w:rsidP="006E4650">
      <w:pPr>
        <w:numPr>
          <w:ilvl w:val="0"/>
          <w:numId w:val="4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налоговых расходов Барунского СМО РК ежегодно осуществляется кураторами налоговых расходов в срок до 10 мая и включает: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оценку целесообразности налоговых расходов Барунского СМО РК;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оценку результативности налоговых расходов Барунского СМО РК.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Критериями целесообразности осуществления налоговых расходов являются: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Барунского СМО РК, не относящимся к муниципальным программам;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востребованность</w:t>
      </w:r>
      <w:r w:rsidRPr="006E46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плательщиками предоставленных льгот,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несоответствия налоговых расходов хотя бы одному из критериев, указанных в </w:t>
      </w:r>
      <w:hyperlink r:id="rId11" w:anchor="sub_1013" w:history="1">
        <w:r w:rsidRPr="006E465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пункте</w:t>
        </w:r>
        <w:r w:rsidRPr="006E465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</w:hyperlink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13 настоящего Порядка, куратору налогового расхода надлежит представить в ФУ ЮРМО РК предложения о сохранении (уточнении, отмене) льгот для плательщиков.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качестве критерия результативности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 w:rsidRPr="006E4650">
        <w:rPr>
          <w:rFonts w:ascii="Times New Roman" w:eastAsia="Times New Roman" w:hAnsi="Times New Roman" w:cs="Times New Roman"/>
          <w:lang w:eastAsia="ru-RU"/>
        </w:rPr>
        <w:t xml:space="preserve">востребованность </w:t>
      </w:r>
      <w:r w:rsidRPr="006E4650">
        <w:rPr>
          <w:rFonts w:ascii="Times New Roman" w:eastAsia="Times New Roman" w:hAnsi="Times New Roman" w:cs="Times New Roman"/>
          <w:color w:val="C00000"/>
          <w:lang w:eastAsia="ru-RU"/>
        </w:rPr>
        <w:t>С</w:t>
      </w:r>
      <w:r w:rsidRPr="006E465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МО РК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муниципальных программы </w:t>
      </w:r>
      <w:r w:rsidRPr="006E4650">
        <w:rPr>
          <w:rFonts w:ascii="Times New Roman" w:eastAsia="Times New Roman" w:hAnsi="Times New Roman" w:cs="Times New Roman"/>
          <w:lang w:eastAsia="ru-RU"/>
        </w:rPr>
        <w:t xml:space="preserve">востребованность </w:t>
      </w:r>
      <w:r w:rsidRPr="006E4650">
        <w:rPr>
          <w:rFonts w:ascii="Times New Roman" w:eastAsia="Times New Roman" w:hAnsi="Times New Roman" w:cs="Times New Roman"/>
          <w:color w:val="C00000"/>
          <w:lang w:eastAsia="ru-RU"/>
        </w:rPr>
        <w:t>С</w:t>
      </w:r>
      <w:r w:rsidRPr="006E465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МО РК 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целей социально-экономической политики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РК,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Оценка результативности налоговых расходов включает оценку бюджетной эффективности налоговых расходов.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целях проведения оценки бюджетной эффективности налоговых расходов осуществляется: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сравнительный анализ результативности предоставления льгот и результативности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альтернативных механизмов достижения целей муниципальной программы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целей социально-экономической политики, не относящихся к муниципальным программам;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совокупного бюджетного эффекта (самоокупаемости) стимулирующих налоговых расходов.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включает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РК и (или) целей социально-экономической политики </w:t>
      </w:r>
      <w:r w:rsidRPr="006E4650">
        <w:rPr>
          <w:rFonts w:ascii="Times New Roman" w:eastAsia="Times New Roman" w:hAnsi="Times New Roman" w:cs="Times New Roman"/>
          <w:lang w:eastAsia="ru-RU"/>
        </w:rPr>
        <w:lastRenderedPageBreak/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РК,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РК и (или) целей социально-экономической политики, не относящихся к муниципальным программам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РК, на 1 рубль налоговых расходов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РК и на 1 рубль расходов бюджета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РК для достижения того же показателя (индикатора) в случае применения альтернативных механизмов).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альтернативных механизмов достижения целей муниципальной программы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РК и (или) целей социально-экономической политики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РК, не относящихся к муниципальным программам, могут учитываться в том числе: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бюджета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РК;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Оценка совокупного бюджетного эффекта (самоокупаемости) налоговых расходов (в отношении стимулирующих налоговых расходов)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Pr="006E4650">
        <w:rPr>
          <w:rFonts w:ascii="Times New Roman" w:eastAsia="Times New Roman" w:hAnsi="Times New Roman" w:cs="Times New Roman"/>
          <w:lang w:eastAsia="ru-RU"/>
        </w:rPr>
        <w:t>востребованность С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РК определяется в целом в отношении соответствующей категории плательщиков, имеющих льготы.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</w:p>
    <w:p w:rsidR="006E4650" w:rsidRPr="006E4650" w:rsidRDefault="006E4650" w:rsidP="006E4650">
      <w:pPr>
        <w:rPr>
          <w:rFonts w:ascii="Times New Roman" w:eastAsia="Times New Roman" w:hAnsi="Times New Roman" w:cs="Times New Roman"/>
          <w:lang w:eastAsia="ru-RU"/>
        </w:rPr>
      </w:pPr>
    </w:p>
    <w:p w:rsidR="006E4650" w:rsidRPr="006E4650" w:rsidRDefault="006E4650" w:rsidP="006E465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E465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E75B22" wp14:editId="0EA01C18">
            <wp:extent cx="2409825" cy="523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i - порядковый номер года, имеющий значение от 1 до 5;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количество плательщиков, воспользовавшихся льготой в i-м году;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j - порядковый номер плательщика, имеющий значение от 1 до m;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ij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объем налогов и сборов, задекларированных для уплаты в бюджет Барунского СМО РК j-м плательщиком в i-м году.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дату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 и сборов, подлежащих уплате в бюджет Барунского СМО РК, оцениваются (прогнозируются) по данным администраторов доходов;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базовый объем налогов и сборов, задекларированных для уплаты в бюджет Барунского СМО РК j-м плательщиком в базовом году;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номинальный темп прироста доходов бюджета Барунского СМО РК в i-м году по отношению к базовому году, доведенный Министерством финансов Российской Федерации до субъектов Российской Федерации не позднее 1 мая текущего финансового года;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r - расчетная стоимость среднесрочных рыночных заимствований Барунского СМО РК, принимаемая на уровне 7,5 процентов.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Базовый объем налогов и сборов, задекларированных для уплаты в бюджет Барунского СМО РК j-м плательщиком в базовом году (B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рассчитывается по формуле:</w:t>
      </w:r>
    </w:p>
    <w:p w:rsidR="006E4650" w:rsidRPr="006E4650" w:rsidRDefault="006E4650" w:rsidP="006E4650">
      <w:pPr>
        <w:rPr>
          <w:rFonts w:ascii="Times New Roman" w:eastAsia="Times New Roman" w:hAnsi="Times New Roman" w:cs="Times New Roman"/>
          <w:lang w:eastAsia="ru-RU"/>
        </w:rPr>
      </w:pPr>
    </w:p>
    <w:p w:rsidR="006E4650" w:rsidRPr="006E4650" w:rsidRDefault="006E4650" w:rsidP="006E465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6E4650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F62780C" wp14:editId="6FA42818">
            <wp:extent cx="1152525" cy="2667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объем налогов и сборов, задекларированных для уплаты в бюджет Барунского СМО РК j-м плательщиком в базовом году;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r w:rsidRPr="006E465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0j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объем льгот, предоставленных j-му плательщику в базовом году.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оценки эффективности налогового расхода куратор налогового расхода формулирует выводы: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достижении целевых характеристик налогового расхода;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вкладе налогового расхода в достижение целей муниципальной программы Барунского СМО РК и (или) целей социально-экономической политики, не относящихся к муниципальным программам;</w:t>
      </w:r>
      <w:proofErr w:type="gramEnd"/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или об отсутствии более результативных (менее затратных для бюджета) альтернативных механизмов достижения целей муниципальной программы Барунского СМО РК и (или) целей социально-экономической политики Барунского СМО РК, не относящихся к муниципальным программам.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налоговых расходов Барунского СМО РК, 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 ЮРМО РК ежегодно до 10 мая.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ФУ ЮРМО РК обобщает результаты оценки налоговых расходов Барунского СМО РК и представляет их для рассмотрения в Межведомственную комиссию по увеличению поступлений налоговых и неналоговых доходов и погашению недоимки в консолидированный </w:t>
      </w:r>
      <w:r w:rsidRPr="006E465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бюджет </w:t>
      </w:r>
      <w:r w:rsidRPr="006E4650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ru-RU"/>
        </w:rPr>
        <w:t>Юстинского</w:t>
      </w:r>
      <w:r w:rsidRPr="006E465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6E465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района </w:t>
      </w: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РК до 1 июня.</w:t>
      </w:r>
    </w:p>
    <w:p w:rsidR="006E4650" w:rsidRPr="006E4650" w:rsidRDefault="006E4650" w:rsidP="006E4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оценки налоговых расходов Барунского СМО РК учитываются при формировании основных направлений бюджетной, налоговой и долговой политики, а также при проведении </w:t>
      </w:r>
      <w:proofErr w:type="gramStart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муниципальных программ муниципального образования</w:t>
      </w:r>
      <w:proofErr w:type="gramEnd"/>
      <w:r w:rsidRPr="006E4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4650" w:rsidRPr="006E4650" w:rsidSect="0048043A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6E4650" w:rsidRPr="006E4650" w:rsidRDefault="006E4650" w:rsidP="006E4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lastRenderedPageBreak/>
        <w:t>Приложение № 1</w:t>
      </w:r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br/>
        <w:t xml:space="preserve">к </w:t>
      </w:r>
      <w:hyperlink w:anchor="sub_1000" w:history="1">
        <w:r w:rsidRPr="006E4650">
          <w:rPr>
            <w:rFonts w:ascii="Times New Roman" w:eastAsia="Times New Roman" w:hAnsi="Times New Roman" w:cs="Times New Roman"/>
            <w:bCs/>
            <w:lang w:eastAsia="ru-RU"/>
          </w:rPr>
          <w:t>Порядку</w:t>
        </w:r>
      </w:hyperlink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формирования перечня налоговых расходов Барунского С</w:t>
      </w:r>
      <w:r w:rsidRPr="006E4650">
        <w:rPr>
          <w:rFonts w:ascii="Times New Roman" w:eastAsia="Times New Roman" w:hAnsi="Times New Roman" w:cs="Times New Roman"/>
          <w:lang w:eastAsia="ru-RU"/>
        </w:rPr>
        <w:t xml:space="preserve">МО РК </w:t>
      </w:r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t>и оценки налоговых расходов Барунского С</w:t>
      </w:r>
      <w:r w:rsidRPr="006E4650">
        <w:rPr>
          <w:rFonts w:ascii="Times New Roman" w:eastAsia="Times New Roman" w:hAnsi="Times New Roman" w:cs="Times New Roman"/>
          <w:lang w:eastAsia="ru-RU"/>
        </w:rPr>
        <w:t>МО РК, утвержденным постановлением Главы Администрации Барунского СМО РК</w:t>
      </w:r>
    </w:p>
    <w:p w:rsidR="006E4650" w:rsidRPr="006E4650" w:rsidRDefault="006E4650" w:rsidP="006E4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650">
        <w:rPr>
          <w:rFonts w:ascii="Times New Roman" w:eastAsia="Times New Roman" w:hAnsi="Times New Roman" w:cs="Times New Roman"/>
          <w:lang w:eastAsia="ru-RU"/>
        </w:rPr>
        <w:t xml:space="preserve"> от «1» апреля 2024г. № _13___</w:t>
      </w:r>
    </w:p>
    <w:p w:rsidR="006E4650" w:rsidRPr="006E4650" w:rsidRDefault="006E4650" w:rsidP="006E46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налоговых расходов Барунского СМО РК, обусловленных налоговыми льготами, установленных нормативно-правовыми актами Барунского СМО РК на ____ год с оценкой на прогнозный период до ____ года</w:t>
      </w:r>
    </w:p>
    <w:tbl>
      <w:tblPr>
        <w:tblW w:w="157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425"/>
        <w:gridCol w:w="736"/>
        <w:gridCol w:w="930"/>
        <w:gridCol w:w="709"/>
        <w:gridCol w:w="519"/>
        <w:gridCol w:w="1075"/>
        <w:gridCol w:w="851"/>
        <w:gridCol w:w="456"/>
        <w:gridCol w:w="425"/>
        <w:gridCol w:w="425"/>
        <w:gridCol w:w="489"/>
        <w:gridCol w:w="489"/>
        <w:gridCol w:w="524"/>
      </w:tblGrid>
      <w:tr w:rsidR="006E4650" w:rsidRPr="006E4650" w:rsidTr="00CD14B2">
        <w:trPr>
          <w:cantSplit/>
          <w:trHeight w:val="841"/>
        </w:trPr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НПА,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устанавливающий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Реквизиты норм НПА,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налоговой льготы, освобождения и иных преференций</w:t>
            </w:r>
          </w:p>
        </w:tc>
        <w:tc>
          <w:tcPr>
            <w:tcW w:w="736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Целевой показатель (индикатор)</w:t>
            </w: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в связи с предоставлением налоговой льготы, освобождения и иных преференций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Код ОКВЭД, к которому относится налоговый расход  </w:t>
            </w:r>
            <w:r w:rsidRPr="006E46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519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Плательщик (юридические лица / физические лица)</w:t>
            </w:r>
          </w:p>
        </w:tc>
        <w:tc>
          <w:tcPr>
            <w:tcW w:w="1075" w:type="dxa"/>
            <w:vMerge w:val="restart"/>
            <w:textDirection w:val="btL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НПА, определяющего цели социально-экономической политики, не относящиеся к муниципальным программам, в целях реализации которых предоставляется налоговая льгота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 муниципальной программы, в целях реализации которой предоставляется налоговая льгота</w:t>
            </w:r>
          </w:p>
        </w:tc>
        <w:tc>
          <w:tcPr>
            <w:tcW w:w="2808" w:type="dxa"/>
            <w:gridSpan w:val="6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Выпадающие доходы бюджета, тыс. рублей</w:t>
            </w:r>
          </w:p>
        </w:tc>
      </w:tr>
      <w:tr w:rsidR="006E4650" w:rsidRPr="006E4650" w:rsidTr="00CD14B2">
        <w:trPr>
          <w:cantSplit/>
          <w:trHeight w:val="4807"/>
        </w:trPr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Merge/>
            <w:textDirection w:val="btL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 (оценка)</w:t>
            </w:r>
          </w:p>
        </w:tc>
        <w:tc>
          <w:tcPr>
            <w:tcW w:w="425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(оценка)</w:t>
            </w:r>
          </w:p>
        </w:tc>
        <w:tc>
          <w:tcPr>
            <w:tcW w:w="48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(прогноз)</w:t>
            </w:r>
          </w:p>
        </w:tc>
        <w:tc>
          <w:tcPr>
            <w:tcW w:w="48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524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следующий за очередным финансовым годом (прогноз)</w:t>
            </w:r>
          </w:p>
        </w:tc>
      </w:tr>
      <w:tr w:rsidR="006E4650" w:rsidRPr="006E4650" w:rsidTr="00CD14B2"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3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7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</w:tr>
      <w:tr w:rsidR="006E4650" w:rsidRPr="006E4650" w:rsidTr="00CD14B2">
        <w:tc>
          <w:tcPr>
            <w:tcW w:w="567" w:type="dxa"/>
          </w:tcPr>
          <w:p w:rsidR="006E4650" w:rsidRPr="006E4650" w:rsidRDefault="006E4650" w:rsidP="006E4650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</w:tcPr>
          <w:p w:rsidR="006E4650" w:rsidRPr="006E4650" w:rsidRDefault="006E4650" w:rsidP="006E46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650" w:rsidRPr="006E4650" w:rsidRDefault="006E4650" w:rsidP="006E4650">
      <w:pPr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sectPr w:rsidR="006E4650" w:rsidRPr="006E4650" w:rsidSect="0048043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E4650" w:rsidRPr="006E4650" w:rsidRDefault="006E4650" w:rsidP="006E4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lastRenderedPageBreak/>
        <w:t>Приложение № 2</w:t>
      </w:r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br/>
        <w:t xml:space="preserve">к </w:t>
      </w:r>
      <w:hyperlink w:anchor="sub_1000" w:history="1">
        <w:r w:rsidRPr="006E4650">
          <w:rPr>
            <w:rFonts w:ascii="Times New Roman" w:eastAsia="Times New Roman" w:hAnsi="Times New Roman" w:cs="Times New Roman"/>
            <w:bCs/>
            <w:lang w:eastAsia="ru-RU"/>
          </w:rPr>
          <w:t>Порядку</w:t>
        </w:r>
      </w:hyperlink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t xml:space="preserve"> формирования перечня налоговых расходов Барунского С</w:t>
      </w:r>
      <w:r w:rsidRPr="006E4650">
        <w:rPr>
          <w:rFonts w:ascii="Times New Roman" w:eastAsia="Times New Roman" w:hAnsi="Times New Roman" w:cs="Times New Roman"/>
          <w:lang w:eastAsia="ru-RU"/>
        </w:rPr>
        <w:t xml:space="preserve">МО РК </w:t>
      </w:r>
      <w:r w:rsidRPr="006E4650">
        <w:rPr>
          <w:rFonts w:ascii="Times New Roman" w:eastAsia="Times New Roman" w:hAnsi="Times New Roman" w:cs="Times New Roman"/>
          <w:bCs/>
          <w:color w:val="26282F"/>
          <w:lang w:eastAsia="ru-RU"/>
        </w:rPr>
        <w:t>и оценки налоговых расходов Барунского С</w:t>
      </w:r>
      <w:r w:rsidRPr="006E4650">
        <w:rPr>
          <w:rFonts w:ascii="Times New Roman" w:eastAsia="Times New Roman" w:hAnsi="Times New Roman" w:cs="Times New Roman"/>
          <w:lang w:eastAsia="ru-RU"/>
        </w:rPr>
        <w:t>МО РК, утвержденным постановлением Главы Администрации Барунского СМО РК</w:t>
      </w:r>
    </w:p>
    <w:p w:rsidR="006E4650" w:rsidRPr="006E4650" w:rsidRDefault="006E4650" w:rsidP="006E46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4650">
        <w:rPr>
          <w:rFonts w:ascii="Times New Roman" w:eastAsia="Times New Roman" w:hAnsi="Times New Roman" w:cs="Times New Roman"/>
          <w:lang w:eastAsia="ru-RU"/>
        </w:rPr>
        <w:t xml:space="preserve"> от «1» апреля 2024г. № 13</w:t>
      </w:r>
    </w:p>
    <w:p w:rsidR="006E4650" w:rsidRPr="006E4650" w:rsidRDefault="006E4650" w:rsidP="006E46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налоговых расходов Барунского СМО РК, обусловленных налоговыми льготами, установленных нормативно-правовыми актами Барунского СМО РК на ____ год с оценкой на прогнозный период до ____ года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709"/>
        <w:gridCol w:w="992"/>
        <w:gridCol w:w="904"/>
        <w:gridCol w:w="850"/>
        <w:gridCol w:w="797"/>
        <w:gridCol w:w="567"/>
        <w:gridCol w:w="567"/>
        <w:gridCol w:w="852"/>
        <w:gridCol w:w="566"/>
        <w:gridCol w:w="709"/>
        <w:gridCol w:w="708"/>
        <w:gridCol w:w="567"/>
        <w:gridCol w:w="683"/>
        <w:gridCol w:w="1134"/>
        <w:gridCol w:w="850"/>
        <w:gridCol w:w="798"/>
        <w:gridCol w:w="796"/>
        <w:gridCol w:w="559"/>
      </w:tblGrid>
      <w:tr w:rsidR="006E4650" w:rsidRPr="006E4650" w:rsidTr="00CD14B2">
        <w:trPr>
          <w:cantSplit/>
          <w:trHeight w:val="5069"/>
        </w:trPr>
        <w:tc>
          <w:tcPr>
            <w:tcW w:w="425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3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НПА,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устанавливающий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льготу, освобождение и иные преференции</w:t>
            </w:r>
          </w:p>
        </w:tc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Реквизиты норм НПА,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льготу, освобождение и иные преференции</w:t>
            </w:r>
          </w:p>
        </w:tc>
        <w:tc>
          <w:tcPr>
            <w:tcW w:w="992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904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850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79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852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56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708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Вид налоговой льготы освобождения и иных преференций</w:t>
            </w:r>
          </w:p>
        </w:tc>
        <w:tc>
          <w:tcPr>
            <w:tcW w:w="683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1134" w:type="dxa"/>
            <w:textDirection w:val="btL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программы  наименование НПА, определяющего цели социально-экономической политики, не относящиеся к муниципальным программам, в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реализации которых предоставляется налоговая льгота</w:t>
            </w:r>
          </w:p>
        </w:tc>
        <w:tc>
          <w:tcPr>
            <w:tcW w:w="850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структурного элемента государственной программы Республики Калмыкия, в целях реализации которой предоставляется налоговая льгота</w:t>
            </w:r>
          </w:p>
        </w:tc>
        <w:tc>
          <w:tcPr>
            <w:tcW w:w="798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Целевой показатель (индикатор)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связи с предоставлением налоговой льготы, освобождения и иных преференций</w:t>
            </w:r>
          </w:p>
        </w:tc>
        <w:tc>
          <w:tcPr>
            <w:tcW w:w="79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Код ОКВЭД, к которому относится налоговый расход  </w:t>
            </w:r>
            <w:r w:rsidRPr="006E465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(если предоставляется для отдельных видов экономической деятельности)</w:t>
            </w:r>
          </w:p>
        </w:tc>
        <w:tc>
          <w:tcPr>
            <w:tcW w:w="55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Плательщик (юридические лица / физические лица)</w:t>
            </w:r>
          </w:p>
        </w:tc>
      </w:tr>
      <w:tr w:rsidR="006E4650" w:rsidRPr="006E4650" w:rsidTr="00CD14B2"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6E4650" w:rsidRPr="006E4650" w:rsidTr="00CD14B2"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709"/>
        <w:gridCol w:w="709"/>
        <w:gridCol w:w="567"/>
        <w:gridCol w:w="425"/>
        <w:gridCol w:w="567"/>
        <w:gridCol w:w="511"/>
        <w:gridCol w:w="481"/>
        <w:gridCol w:w="567"/>
        <w:gridCol w:w="492"/>
        <w:gridCol w:w="540"/>
        <w:gridCol w:w="527"/>
        <w:gridCol w:w="425"/>
        <w:gridCol w:w="567"/>
        <w:gridCol w:w="567"/>
        <w:gridCol w:w="426"/>
        <w:gridCol w:w="425"/>
        <w:gridCol w:w="536"/>
        <w:gridCol w:w="536"/>
        <w:gridCol w:w="536"/>
        <w:gridCol w:w="537"/>
        <w:gridCol w:w="536"/>
        <w:gridCol w:w="536"/>
        <w:gridCol w:w="536"/>
        <w:gridCol w:w="536"/>
        <w:gridCol w:w="536"/>
        <w:gridCol w:w="536"/>
        <w:gridCol w:w="536"/>
      </w:tblGrid>
      <w:tr w:rsidR="006E4650" w:rsidRPr="006E4650" w:rsidTr="00CD14B2">
        <w:trPr>
          <w:cantSplit/>
          <w:trHeight w:val="809"/>
        </w:trPr>
        <w:tc>
          <w:tcPr>
            <w:tcW w:w="6161" w:type="dxa"/>
            <w:gridSpan w:val="11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</w:t>
            </w:r>
          </w:p>
        </w:tc>
        <w:tc>
          <w:tcPr>
            <w:tcW w:w="5622" w:type="dxa"/>
            <w:gridSpan w:val="11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льгот, освобождений </w:t>
            </w:r>
          </w:p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иных преференций (тыс. рублей)</w:t>
            </w:r>
          </w:p>
        </w:tc>
        <w:tc>
          <w:tcPr>
            <w:tcW w:w="3752" w:type="dxa"/>
            <w:gridSpan w:val="7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плательщиков налогов и сборов, воспользовавшихся налоговой льготой, освобождением и иной преференцией (единиц)</w:t>
            </w:r>
          </w:p>
        </w:tc>
      </w:tr>
      <w:tr w:rsidR="006E4650" w:rsidRPr="006E4650" w:rsidTr="00CD14B2">
        <w:trPr>
          <w:cantSplit/>
          <w:trHeight w:val="3533"/>
        </w:trPr>
        <w:tc>
          <w:tcPr>
            <w:tcW w:w="56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6-ой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511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(оценка)</w:t>
            </w:r>
          </w:p>
        </w:tc>
        <w:tc>
          <w:tcPr>
            <w:tcW w:w="481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(прогноз)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492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540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6-ой финансовый год, предшествующий отчетному финансовому году</w:t>
            </w:r>
          </w:p>
        </w:tc>
        <w:tc>
          <w:tcPr>
            <w:tcW w:w="52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5-ый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4-ый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предшествующий отчетному финансовому году</w:t>
            </w:r>
          </w:p>
        </w:tc>
        <w:tc>
          <w:tcPr>
            <w:tcW w:w="42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предшествующий отчетному финансовому году</w:t>
            </w:r>
          </w:p>
        </w:tc>
        <w:tc>
          <w:tcPr>
            <w:tcW w:w="425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(оценка)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(прогноз)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53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6-ой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3-ий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предшествующий отчетному финансовому году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Отчетный финансовый год</w:t>
            </w:r>
          </w:p>
        </w:tc>
      </w:tr>
      <w:tr w:rsidR="006E4650" w:rsidRPr="006E4650" w:rsidTr="00CD14B2"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1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2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</w:tr>
      <w:tr w:rsidR="006E4650" w:rsidRPr="006E4650" w:rsidTr="00CD14B2"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"/>
        <w:gridCol w:w="706"/>
        <w:gridCol w:w="706"/>
        <w:gridCol w:w="566"/>
        <w:gridCol w:w="583"/>
        <w:gridCol w:w="709"/>
        <w:gridCol w:w="708"/>
        <w:gridCol w:w="567"/>
        <w:gridCol w:w="567"/>
        <w:gridCol w:w="492"/>
        <w:gridCol w:w="642"/>
        <w:gridCol w:w="581"/>
        <w:gridCol w:w="567"/>
        <w:gridCol w:w="564"/>
        <w:gridCol w:w="570"/>
        <w:gridCol w:w="567"/>
        <w:gridCol w:w="536"/>
        <w:gridCol w:w="536"/>
        <w:gridCol w:w="536"/>
        <w:gridCol w:w="537"/>
        <w:gridCol w:w="671"/>
        <w:gridCol w:w="536"/>
        <w:gridCol w:w="591"/>
        <w:gridCol w:w="622"/>
        <w:gridCol w:w="653"/>
      </w:tblGrid>
      <w:tr w:rsidR="006E4650" w:rsidRPr="006E4650" w:rsidTr="00CD14B2">
        <w:trPr>
          <w:cantSplit/>
          <w:trHeight w:val="809"/>
        </w:trPr>
        <w:tc>
          <w:tcPr>
            <w:tcW w:w="6876" w:type="dxa"/>
            <w:gridSpan w:val="11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налогов, задекларированный для уплаты в бюджет плательщиками налогов, имеющими право на налоговые льготы, освобождения и иные преференции (тыс. рублей) (заполняется для стимулирующей категории налоговых льгот)</w:t>
            </w:r>
          </w:p>
        </w:tc>
        <w:tc>
          <w:tcPr>
            <w:tcW w:w="642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Бюджетный эффект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</w:t>
            </w:r>
            <w:proofErr w:type="gramEnd"/>
          </w:p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финансовый год, предшествующий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отчетному</w:t>
            </w:r>
            <w:proofErr w:type="gramEnd"/>
          </w:p>
        </w:tc>
        <w:tc>
          <w:tcPr>
            <w:tcW w:w="581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налоговой льготы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Эффективность налоговой льготы (комментарии)</w:t>
            </w:r>
          </w:p>
        </w:tc>
        <w:tc>
          <w:tcPr>
            <w:tcW w:w="1701" w:type="dxa"/>
            <w:gridSpan w:val="3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Получатели стимулирующих налоговых льгот в 5-ом финансовом году,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предшествующий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отчетному финансовому году</w:t>
            </w:r>
          </w:p>
        </w:tc>
        <w:tc>
          <w:tcPr>
            <w:tcW w:w="2145" w:type="dxa"/>
            <w:gridSpan w:val="4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Получатели стимулирующих налоговых льгот в 4-ом финансовом году,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предшествующий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отчетному финансовому году</w:t>
            </w:r>
          </w:p>
        </w:tc>
        <w:tc>
          <w:tcPr>
            <w:tcW w:w="3073" w:type="dxa"/>
            <w:gridSpan w:val="5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Получатели стимулирующих налоговых льгот в 3-м финансовом году,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предшествующий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отчетному финансовому году</w:t>
            </w:r>
          </w:p>
        </w:tc>
      </w:tr>
      <w:tr w:rsidR="006E4650" w:rsidRPr="006E4650" w:rsidTr="00CD14B2">
        <w:trPr>
          <w:cantSplit/>
          <w:trHeight w:val="4199"/>
        </w:trPr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6-ой финансовый год, предшествующий отчетному финансовому году</w:t>
            </w:r>
          </w:p>
        </w:tc>
        <w:tc>
          <w:tcPr>
            <w:tcW w:w="563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5-ый финансовый год, предшествующий отчетному финансовому году</w:t>
            </w:r>
          </w:p>
        </w:tc>
        <w:tc>
          <w:tcPr>
            <w:tcW w:w="70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4-ый финансовый год, предшествующий отчетному финансовому году</w:t>
            </w:r>
          </w:p>
        </w:tc>
        <w:tc>
          <w:tcPr>
            <w:tcW w:w="70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3-ий финансовый год, предшествующий отчетному финансовому году</w:t>
            </w:r>
          </w:p>
        </w:tc>
        <w:tc>
          <w:tcPr>
            <w:tcW w:w="56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предшествующий отчетному финансовому году</w:t>
            </w:r>
          </w:p>
        </w:tc>
        <w:tc>
          <w:tcPr>
            <w:tcW w:w="583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предшествующий отчетному финансовому году</w:t>
            </w:r>
          </w:p>
        </w:tc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Отчетный финансовый год</w:t>
            </w:r>
          </w:p>
        </w:tc>
        <w:tc>
          <w:tcPr>
            <w:tcW w:w="708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 год (оценка)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финансовый год (прогноз)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492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642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(5-ый финансовый год, предшествующий отчетному финансовому году)</w:t>
            </w:r>
          </w:p>
        </w:tc>
        <w:tc>
          <w:tcPr>
            <w:tcW w:w="570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Льгота  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(5-ый финансовый год, предшествующий отчетному финансовому году)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Льгота  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3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671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Льгота  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(3-ий финансовый год, предшествующий отчетному финансовому году)</w:t>
            </w:r>
          </w:p>
        </w:tc>
        <w:tc>
          <w:tcPr>
            <w:tcW w:w="591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622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653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(6-ой финансовый год, предшествующий отчетному финансовому году)</w:t>
            </w: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6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5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57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7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59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2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65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650" w:rsidRPr="006E4650" w:rsidRDefault="006E4650" w:rsidP="006E46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1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36"/>
        <w:gridCol w:w="536"/>
        <w:gridCol w:w="536"/>
        <w:gridCol w:w="540"/>
        <w:gridCol w:w="536"/>
        <w:gridCol w:w="536"/>
        <w:gridCol w:w="536"/>
        <w:gridCol w:w="536"/>
        <w:gridCol w:w="536"/>
        <w:gridCol w:w="536"/>
        <w:gridCol w:w="536"/>
      </w:tblGrid>
      <w:tr w:rsidR="006E4650" w:rsidRPr="006E4650" w:rsidTr="00CD14B2">
        <w:trPr>
          <w:cantSplit/>
          <w:trHeight w:val="809"/>
        </w:trPr>
        <w:tc>
          <w:tcPr>
            <w:tcW w:w="3424" w:type="dxa"/>
            <w:gridSpan w:val="6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Получатели стимулирующих налоговых льгот во 2-ом финансовом году,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предшествующий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отчетному финансовому году</w:t>
            </w:r>
          </w:p>
        </w:tc>
        <w:tc>
          <w:tcPr>
            <w:tcW w:w="3752" w:type="dxa"/>
            <w:gridSpan w:val="7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Получатели стимулирующих налоговых льгот в 1-ом финансовом году, </w:t>
            </w:r>
            <w:proofErr w:type="gramStart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предшествующий</w:t>
            </w:r>
            <w:proofErr w:type="gramEnd"/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отчетному финансовому году</w:t>
            </w:r>
          </w:p>
        </w:tc>
      </w:tr>
      <w:tr w:rsidR="006E4650" w:rsidRPr="006E4650" w:rsidTr="00CD14B2">
        <w:trPr>
          <w:cantSplit/>
          <w:trHeight w:val="4019"/>
        </w:trPr>
        <w:tc>
          <w:tcPr>
            <w:tcW w:w="709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(2-ой финансовый год, предшествующий отчетному финансовому году)</w:t>
            </w:r>
          </w:p>
        </w:tc>
        <w:tc>
          <w:tcPr>
            <w:tcW w:w="567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Льгота  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40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(6-ой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(1-ый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Льгота  </w:t>
            </w: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(1-ый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(2-ой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(3-ий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(4-ый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(5-ый финансовый год, предшествующий отчетному финансовому году)</w:t>
            </w:r>
          </w:p>
        </w:tc>
        <w:tc>
          <w:tcPr>
            <w:tcW w:w="536" w:type="dxa"/>
            <w:textDirection w:val="btLr"/>
            <w:vAlign w:val="center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(6-ой финансовый год, предшествующий отчетному финансовому году)</w:t>
            </w: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4650" w:rsidRPr="006E4650" w:rsidTr="00CD14B2">
        <w:tc>
          <w:tcPr>
            <w:tcW w:w="709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</w:tcPr>
          <w:p w:rsidR="006E4650" w:rsidRPr="006E4650" w:rsidRDefault="006E4650" w:rsidP="006E46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4650" w:rsidRPr="006E4650" w:rsidRDefault="006E4650" w:rsidP="006E4650">
      <w:pPr>
        <w:rPr>
          <w:rFonts w:ascii="Times New Roman" w:eastAsia="Times New Roman" w:hAnsi="Times New Roman" w:cs="Times New Roman"/>
          <w:lang w:eastAsia="ru-RU"/>
        </w:rPr>
      </w:pPr>
    </w:p>
    <w:p w:rsidR="006E4650" w:rsidRPr="006E4650" w:rsidRDefault="006E4650" w:rsidP="006E46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C6" w:rsidRDefault="001676C6">
      <w:bookmarkStart w:id="0" w:name="_GoBack"/>
      <w:bookmarkEnd w:id="0"/>
    </w:p>
    <w:sectPr w:rsidR="00167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9E8"/>
    <w:multiLevelType w:val="hybridMultilevel"/>
    <w:tmpl w:val="358E1118"/>
    <w:lvl w:ilvl="0" w:tplc="8BF0EB58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4236473"/>
    <w:multiLevelType w:val="multilevel"/>
    <w:tmpl w:val="E264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D2E54"/>
    <w:multiLevelType w:val="hybridMultilevel"/>
    <w:tmpl w:val="3ED85CC6"/>
    <w:lvl w:ilvl="0" w:tplc="3780926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1C6060"/>
    <w:multiLevelType w:val="hybridMultilevel"/>
    <w:tmpl w:val="094C1CA4"/>
    <w:lvl w:ilvl="0" w:tplc="9B58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C6"/>
    <w:rsid w:val="001676C6"/>
    <w:rsid w:val="006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adg3abjcfb8bcabdhxmq.xn--p1ai/documents/258.html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xn----8sbeadg3abjcfb8bcabdhxmq.xn--p1ai/documents/258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xn----8sbeadg3abjcfb8bcabdhxmq.xn--p1ai/documents/258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--8sbeadg3abjcfb8bcabdhxmq.xn--p1ai/documents/25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8sbeadg3abjcfb8bcabdhxmq.xn--p1ai/documents/25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4702</Words>
  <Characters>26807</Characters>
  <Application>Microsoft Office Word</Application>
  <DocSecurity>0</DocSecurity>
  <Lines>223</Lines>
  <Paragraphs>62</Paragraphs>
  <ScaleCrop>false</ScaleCrop>
  <Company/>
  <LinksUpToDate>false</LinksUpToDate>
  <CharactersWithSpaces>31447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2024-05-29T08:15:00Z</dcterms:created>
  <dcterms:modified xsi:type="dcterms:W3CDTF">2024-05-29T08:15:00Z</dcterms:modified>
</cp:coreProperties>
</file>