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609"/>
        <w:gridCol w:w="5191"/>
      </w:tblGrid>
      <w:tr w:rsidR="00AB56ED" w:rsidTr="009920FE">
        <w:trPr>
          <w:jc w:val="center"/>
        </w:trPr>
        <w:tc>
          <w:tcPr>
            <w:tcW w:w="4040" w:type="dxa"/>
            <w:vAlign w:val="center"/>
          </w:tcPr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AB56ED" w:rsidRDefault="00AB56ED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738829" wp14:editId="0F3B87A1">
                  <wp:extent cx="869950" cy="876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vAlign w:val="center"/>
          </w:tcPr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АДМИНИСТРАЦИЯ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AB56ED" w:rsidRDefault="00AB56ED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56ED" w:rsidRDefault="00AB56ED" w:rsidP="00AB56ED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>
        <w:rPr>
          <w:rFonts w:ascii="Times New Roman" w:hAnsi="Times New Roman"/>
          <w:sz w:val="16"/>
          <w:szCs w:val="16"/>
        </w:rPr>
        <w:t>Барун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/>
          <w:sz w:val="16"/>
          <w:szCs w:val="16"/>
        </w:rPr>
        <w:t>Юстинского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AB56ED" w:rsidRPr="00487776" w:rsidRDefault="00AB56ED" w:rsidP="00AB56ED">
      <w:pPr>
        <w:jc w:val="center"/>
        <w:rPr>
          <w:rFonts w:ascii="Times New Roman" w:hAnsi="Times New Roman"/>
          <w:sz w:val="28"/>
          <w:szCs w:val="28"/>
        </w:rPr>
      </w:pPr>
      <w:r w:rsidRPr="00487776">
        <w:rPr>
          <w:rFonts w:ascii="Times New Roman" w:hAnsi="Times New Roman"/>
          <w:sz w:val="28"/>
          <w:szCs w:val="28"/>
        </w:rPr>
        <w:t>ПОСТАНОВЛЕНИЕ</w:t>
      </w:r>
    </w:p>
    <w:p w:rsidR="00AB56ED" w:rsidRPr="00061F0F" w:rsidRDefault="00AB56ED" w:rsidP="00AB56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487776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 xml:space="preserve">4г.                                     № 1      </w:t>
      </w:r>
      <w:r w:rsidRPr="00487776">
        <w:rPr>
          <w:rFonts w:ascii="Times New Roman" w:hAnsi="Times New Roman"/>
          <w:sz w:val="28"/>
          <w:szCs w:val="28"/>
        </w:rPr>
        <w:t xml:space="preserve">                                              п. </w:t>
      </w:r>
      <w:proofErr w:type="spellStart"/>
      <w:r w:rsidRPr="00487776">
        <w:rPr>
          <w:rFonts w:ascii="Times New Roman" w:hAnsi="Times New Roman"/>
          <w:sz w:val="28"/>
          <w:szCs w:val="28"/>
        </w:rPr>
        <w:t>Барун</w:t>
      </w:r>
      <w:proofErr w:type="spellEnd"/>
    </w:p>
    <w:p w:rsidR="00AB56ED" w:rsidRPr="00061F0F" w:rsidRDefault="00AB56ED" w:rsidP="00AB56ED">
      <w:pPr>
        <w:spacing w:after="266" w:line="271" w:lineRule="auto"/>
        <w:ind w:right="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«О повышении оплаты труда работников муниципальных учреждений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Калмыкия»</w:t>
      </w:r>
    </w:p>
    <w:p w:rsidR="00AB56ED" w:rsidRDefault="00AB56ED" w:rsidP="00AB56ED">
      <w:pPr>
        <w:spacing w:after="18" w:line="271" w:lineRule="auto"/>
        <w:ind w:right="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п. 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постановления Правительства Республики Калмыкии от 27 декабря 2023 года № 460 «О повышении </w:t>
      </w: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оплаты труда работников государственных учреждений Республики</w:t>
      </w:r>
      <w:proofErr w:type="gram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Калмыкия» </w:t>
      </w:r>
    </w:p>
    <w:p w:rsidR="00AB56ED" w:rsidRPr="00061F0F" w:rsidRDefault="00AB56ED" w:rsidP="00AB56ED">
      <w:pPr>
        <w:spacing w:after="18" w:line="271" w:lineRule="auto"/>
        <w:ind w:left="455" w:right="4" w:firstLine="69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ПОСТАНОВЛЯЮ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B56ED" w:rsidRDefault="00AB56ED" w:rsidP="00AB56ED">
      <w:pPr>
        <w:pStyle w:val="a3"/>
        <w:numPr>
          <w:ilvl w:val="0"/>
          <w:numId w:val="1"/>
        </w:numPr>
        <w:spacing w:after="18" w:line="271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F7C821B" wp14:editId="36980F9D">
            <wp:simplePos x="0" y="0"/>
            <wp:positionH relativeFrom="page">
              <wp:posOffset>320040</wp:posOffset>
            </wp:positionH>
            <wp:positionV relativeFrom="page">
              <wp:posOffset>4341495</wp:posOffset>
            </wp:positionV>
            <wp:extent cx="21590" cy="1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029BD0A8" wp14:editId="2EA06F9C">
            <wp:simplePos x="0" y="0"/>
            <wp:positionH relativeFrom="page">
              <wp:posOffset>7186930</wp:posOffset>
            </wp:positionH>
            <wp:positionV relativeFrom="page">
              <wp:posOffset>5060950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5BE67E74" wp14:editId="348DFD43">
            <wp:simplePos x="0" y="0"/>
            <wp:positionH relativeFrom="page">
              <wp:posOffset>247015</wp:posOffset>
            </wp:positionH>
            <wp:positionV relativeFrom="page">
              <wp:posOffset>5085715</wp:posOffset>
            </wp:positionV>
            <wp:extent cx="8890" cy="3778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4639B401" wp14:editId="2EBB5AD6">
            <wp:simplePos x="0" y="0"/>
            <wp:positionH relativeFrom="page">
              <wp:posOffset>240665</wp:posOffset>
            </wp:positionH>
            <wp:positionV relativeFrom="page">
              <wp:posOffset>7768590</wp:posOffset>
            </wp:positionV>
            <wp:extent cx="8890" cy="4692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Повысить с 1 января 2024 года на 10 процентов размеры окладов (должностных окладов), ставки заработной платы, установленные работникам муниципальных учреждений </w:t>
      </w:r>
      <w:proofErr w:type="spell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муниципального образования Республики Калмыкия и работникам органов местного самоуправления </w:t>
      </w:r>
      <w:proofErr w:type="spell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муниципального образования Республики Калмыкия, оплата труда которых ранее осуществлялась на основе Единой тарифной сетки по оплате труда работников организаций бюджетной сферы, обеспечиваемым за счет бюджета </w:t>
      </w:r>
      <w:proofErr w:type="spell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AB56ED" w:rsidRPr="00061F0F" w:rsidRDefault="00AB56ED" w:rsidP="00AB56ED">
      <w:pPr>
        <w:pStyle w:val="a3"/>
        <w:numPr>
          <w:ilvl w:val="0"/>
          <w:numId w:val="1"/>
        </w:numPr>
        <w:spacing w:after="52" w:line="271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Руководителям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 принять необходимые меры по обеспечению с 1 января 2024 года повышение оплаты труда работников, указанных в п. </w:t>
      </w:r>
      <w:r w:rsidRPr="00061F0F">
        <w:rPr>
          <w:noProof/>
          <w:lang w:eastAsia="ru-RU"/>
        </w:rPr>
        <w:drawing>
          <wp:inline distT="0" distB="0" distL="0" distR="0" wp14:anchorId="4E5AE95E" wp14:editId="10B7A746">
            <wp:extent cx="47625" cy="11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настоящего постановления.</w:t>
      </w:r>
    </w:p>
    <w:p w:rsidR="00AB56ED" w:rsidRPr="00061F0F" w:rsidRDefault="00AB56ED" w:rsidP="00AB56ED">
      <w:pPr>
        <w:pStyle w:val="a3"/>
        <w:numPr>
          <w:ilvl w:val="0"/>
          <w:numId w:val="1"/>
        </w:numPr>
        <w:spacing w:after="18" w:line="271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AB56ED" w:rsidRDefault="00AB56ED" w:rsidP="00AB56ED">
      <w:pPr>
        <w:pStyle w:val="a3"/>
        <w:numPr>
          <w:ilvl w:val="0"/>
          <w:numId w:val="1"/>
        </w:numPr>
        <w:spacing w:after="832" w:line="271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главного бухгалтера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Pr="00061F0F">
        <w:rPr>
          <w:noProof/>
          <w:lang w:eastAsia="ru-RU"/>
        </w:rPr>
        <w:drawing>
          <wp:inline distT="0" distB="0" distL="0" distR="0" wp14:anchorId="636C3E17" wp14:editId="4A96E227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Республики Калмыкия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Кокуеву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Т.Д.</w:t>
      </w:r>
    </w:p>
    <w:p w:rsidR="00AB56ED" w:rsidRPr="00061F0F" w:rsidRDefault="00AB56ED" w:rsidP="00AB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F0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61F0F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061F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F0F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AB56ED" w:rsidRPr="00061F0F" w:rsidRDefault="00AB56ED" w:rsidP="00AB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F0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B56ED" w:rsidRPr="00061F0F" w:rsidRDefault="00AB56ED" w:rsidP="00AB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F0F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061F0F">
        <w:rPr>
          <w:rFonts w:ascii="Times New Roman" w:hAnsi="Times New Roman"/>
          <w:sz w:val="24"/>
          <w:szCs w:val="24"/>
        </w:rPr>
        <w:t>ахлачи</w:t>
      </w:r>
      <w:proofErr w:type="spellEnd"/>
      <w:r w:rsidRPr="00061F0F">
        <w:rPr>
          <w:rFonts w:ascii="Times New Roman" w:hAnsi="Times New Roman"/>
          <w:sz w:val="24"/>
          <w:szCs w:val="24"/>
        </w:rPr>
        <w:t xml:space="preserve">):                                                        </w:t>
      </w:r>
      <w:proofErr w:type="spellStart"/>
      <w:r w:rsidRPr="00061F0F">
        <w:rPr>
          <w:rFonts w:ascii="Times New Roman" w:hAnsi="Times New Roman"/>
          <w:sz w:val="24"/>
          <w:szCs w:val="24"/>
        </w:rPr>
        <w:t>Артаев</w:t>
      </w:r>
      <w:proofErr w:type="spellEnd"/>
      <w:r w:rsidRPr="00061F0F">
        <w:rPr>
          <w:rFonts w:ascii="Times New Roman" w:hAnsi="Times New Roman"/>
          <w:sz w:val="24"/>
          <w:szCs w:val="24"/>
        </w:rPr>
        <w:t xml:space="preserve"> П.Д.</w:t>
      </w:r>
    </w:p>
    <w:p w:rsidR="00AB56ED" w:rsidRPr="00061F0F" w:rsidRDefault="00AB56ED" w:rsidP="00AB56ED">
      <w:pPr>
        <w:spacing w:after="832" w:line="271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8D3" w:rsidRDefault="00D318D3">
      <w:bookmarkStart w:id="0" w:name="_GoBack"/>
      <w:bookmarkEnd w:id="0"/>
    </w:p>
    <w:sectPr w:rsidR="00D3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5D98"/>
    <w:multiLevelType w:val="hybridMultilevel"/>
    <w:tmpl w:val="7C26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D3"/>
    <w:rsid w:val="00AB56ED"/>
    <w:rsid w:val="00D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2024-04-10T13:33:00Z</dcterms:created>
  <dcterms:modified xsi:type="dcterms:W3CDTF">2024-04-10T13:33:00Z</dcterms:modified>
</cp:coreProperties>
</file>