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3"/>
        <w:gridCol w:w="1610"/>
        <w:gridCol w:w="3962"/>
      </w:tblGrid>
      <w:tr w:rsidR="00EF3E54" w:rsidRPr="004776B3" w:rsidTr="00784DBB">
        <w:tc>
          <w:tcPr>
            <w:tcW w:w="4041" w:type="dxa"/>
            <w:vAlign w:val="center"/>
          </w:tcPr>
          <w:p w:rsidR="00EF3E54" w:rsidRPr="004776B3" w:rsidRDefault="00EF3E54" w:rsidP="00784D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ХАЛЬМГ ТАНГЧИН</w:t>
            </w:r>
          </w:p>
          <w:p w:rsidR="00EF3E54" w:rsidRPr="004776B3" w:rsidRDefault="00EF3E54" w:rsidP="00784D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 СЕЛӘНӘ</w:t>
            </w:r>
          </w:p>
          <w:p w:rsidR="00EF3E54" w:rsidRPr="004776B3" w:rsidRDefault="00EF3E54" w:rsidP="00784D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 Б</w:t>
            </w:r>
            <w:proofErr w:type="gramStart"/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Y</w:t>
            </w:r>
            <w:proofErr w:type="gramEnd"/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РДӘЦИН </w:t>
            </w:r>
          </w:p>
          <w:p w:rsidR="00EF3E54" w:rsidRPr="004776B3" w:rsidRDefault="00EF3E54" w:rsidP="00784D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АДМИНИСТРАЦИН ТОГТАВР</w:t>
            </w:r>
          </w:p>
          <w:p w:rsidR="00EF3E54" w:rsidRPr="004776B3" w:rsidRDefault="00EF3E54" w:rsidP="00784D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  <w:hideMark/>
          </w:tcPr>
          <w:p w:rsidR="00EF3E54" w:rsidRPr="004776B3" w:rsidRDefault="00EF3E54" w:rsidP="00784D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776B3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C1F2405" wp14:editId="01B5BE85">
                  <wp:extent cx="866775" cy="876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EF3E54" w:rsidRPr="004776B3" w:rsidRDefault="00EF3E54" w:rsidP="00784D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АДМИНИСТРАЦИ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</w:t>
            </w:r>
          </w:p>
          <w:p w:rsidR="00EF3E54" w:rsidRPr="004776B3" w:rsidRDefault="00EF3E54" w:rsidP="00784D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БАРУНСКОГО  СЕЛЬСКОГО</w:t>
            </w:r>
          </w:p>
          <w:p w:rsidR="00EF3E54" w:rsidRPr="004776B3" w:rsidRDefault="00EF3E54" w:rsidP="00784D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EF3E54" w:rsidRPr="004776B3" w:rsidRDefault="00EF3E54" w:rsidP="00784D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РЕСПУБЛИКИ КАЛМЫКИЯ </w:t>
            </w:r>
          </w:p>
          <w:p w:rsidR="00EF3E54" w:rsidRPr="004776B3" w:rsidRDefault="00EF3E54" w:rsidP="00784D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F3E54" w:rsidRPr="004776B3" w:rsidRDefault="00EF3E54" w:rsidP="00EF3E54">
      <w:pPr>
        <w:pBdr>
          <w:bottom w:val="single" w:sz="12" w:space="0" w:color="auto"/>
        </w:pBdr>
        <w:tabs>
          <w:tab w:val="left" w:pos="8070"/>
        </w:tabs>
        <w:ind w:left="-120" w:right="175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4776B3">
        <w:rPr>
          <w:rFonts w:ascii="Times New Roman" w:eastAsia="Calibri" w:hAnsi="Times New Roman" w:cs="Times New Roman"/>
          <w:sz w:val="16"/>
          <w:szCs w:val="16"/>
        </w:rPr>
        <w:t xml:space="preserve">359317, Республика Калмыкия,  п. </w:t>
      </w:r>
      <w:proofErr w:type="spellStart"/>
      <w:r w:rsidRPr="004776B3">
        <w:rPr>
          <w:rFonts w:ascii="Times New Roman" w:eastAsia="Calibri" w:hAnsi="Times New Roman" w:cs="Times New Roman"/>
          <w:sz w:val="16"/>
          <w:szCs w:val="16"/>
        </w:rPr>
        <w:t>Барун</w:t>
      </w:r>
      <w:proofErr w:type="spellEnd"/>
      <w:r w:rsidRPr="004776B3">
        <w:rPr>
          <w:rFonts w:ascii="Times New Roman" w:eastAsia="Calibri" w:hAnsi="Times New Roman" w:cs="Times New Roman"/>
          <w:sz w:val="16"/>
          <w:szCs w:val="16"/>
        </w:rPr>
        <w:t xml:space="preserve">  </w:t>
      </w:r>
      <w:proofErr w:type="spellStart"/>
      <w:r w:rsidRPr="004776B3">
        <w:rPr>
          <w:rFonts w:ascii="Times New Roman" w:eastAsia="Calibri" w:hAnsi="Times New Roman" w:cs="Times New Roman"/>
          <w:sz w:val="16"/>
          <w:szCs w:val="16"/>
        </w:rPr>
        <w:t>Юстинского</w:t>
      </w:r>
      <w:proofErr w:type="spellEnd"/>
      <w:r w:rsidRPr="004776B3">
        <w:rPr>
          <w:rFonts w:ascii="Times New Roman" w:eastAsia="Calibri" w:hAnsi="Times New Roman" w:cs="Times New Roman"/>
          <w:sz w:val="16"/>
          <w:szCs w:val="16"/>
        </w:rPr>
        <w:t xml:space="preserve"> района,  ул. Советская, 24  код /847 44/, тел. 99140</w:t>
      </w:r>
    </w:p>
    <w:p w:rsidR="00EF3E54" w:rsidRPr="004776B3" w:rsidRDefault="00EF3E54" w:rsidP="00EF3E5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76B3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EF3E54" w:rsidRPr="0080683E" w:rsidRDefault="00EF3E54" w:rsidP="00EF3E5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</w:t>
      </w:r>
      <w:r w:rsidRPr="009F5724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9F5724">
        <w:rPr>
          <w:rFonts w:ascii="Times New Roman" w:eastAsia="Calibri" w:hAnsi="Times New Roman" w:cs="Times New Roman"/>
          <w:sz w:val="24"/>
          <w:szCs w:val="24"/>
        </w:rPr>
        <w:t xml:space="preserve">.2023 г.                                                 № </w:t>
      </w:r>
      <w:r>
        <w:rPr>
          <w:rFonts w:ascii="Times New Roman" w:eastAsia="Calibri" w:hAnsi="Times New Roman" w:cs="Times New Roman"/>
          <w:sz w:val="24"/>
          <w:szCs w:val="24"/>
        </w:rPr>
        <w:t>53</w:t>
      </w:r>
      <w:r w:rsidRPr="009F572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п. </w:t>
      </w:r>
      <w:proofErr w:type="spellStart"/>
      <w:r w:rsidRPr="009F5724">
        <w:rPr>
          <w:rFonts w:ascii="Times New Roman" w:eastAsia="Calibri" w:hAnsi="Times New Roman" w:cs="Times New Roman"/>
          <w:sz w:val="24"/>
          <w:szCs w:val="24"/>
        </w:rPr>
        <w:t>Барун</w:t>
      </w:r>
      <w:proofErr w:type="spellEnd"/>
    </w:p>
    <w:p w:rsidR="00EF3E54" w:rsidRDefault="00EF3E54" w:rsidP="00EF3E54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FF0000"/>
          <w:sz w:val="24"/>
          <w:szCs w:val="24"/>
          <w:lang w:eastAsia="ru-RU"/>
        </w:rPr>
      </w:pPr>
    </w:p>
    <w:p w:rsidR="00EF3E54" w:rsidRPr="0080683E" w:rsidRDefault="00EF3E54" w:rsidP="00EF3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определении места первичного сбора </w:t>
      </w:r>
    </w:p>
    <w:p w:rsidR="00EF3E54" w:rsidRPr="0080683E" w:rsidRDefault="00EF3E54" w:rsidP="00EF3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временного размещения ртутьсодержащих ламп</w:t>
      </w:r>
    </w:p>
    <w:p w:rsidR="00EF3E54" w:rsidRPr="0080683E" w:rsidRDefault="00EF3E54" w:rsidP="00EF3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</w:p>
    <w:p w:rsidR="00EF3E54" w:rsidRPr="0080683E" w:rsidRDefault="00EF3E54" w:rsidP="00EF3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Республики Калмыкия »</w:t>
      </w:r>
    </w:p>
    <w:p w:rsidR="00EF3E54" w:rsidRPr="0080683E" w:rsidRDefault="00EF3E54" w:rsidP="00EF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E54" w:rsidRPr="0080683E" w:rsidRDefault="00EF3E54" w:rsidP="00EF3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соответствием с Федеральным законом от 06.10.2003 №131-ФЗ «Об общих принц</w:t>
      </w: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 организации местного самоуправления в Российской Федерации», Постановлением Прав</w:t>
      </w: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тельства Российской Федерации №681 от 03.09.2010 «Об утверждении Правил обращения с  отходами производства и потребления в части осветительных устройств, электрических ламп, ненадлежащий сбор, накопление, использование, обезвреживание, транспортирование и разм</w:t>
      </w: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щение которых может повлечь причинение вреда жизни,  здоровью граждан, вреда животным, растениям и окружающей</w:t>
      </w:r>
      <w:proofErr w:type="gramEnd"/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среде» на основании Устава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</w:t>
      </w: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разования Республики Калмыкия </w:t>
      </w:r>
    </w:p>
    <w:p w:rsidR="00EF3E54" w:rsidRPr="0080683E" w:rsidRDefault="00EF3E54" w:rsidP="00EF3E5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E54" w:rsidRPr="0080683E" w:rsidRDefault="00EF3E54" w:rsidP="00EF3E5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EF3E54" w:rsidRPr="0080683E" w:rsidRDefault="00EF3E54" w:rsidP="00EF3E5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место сбора, временного  размещения ртутьсодержащих ламп: здание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шего овощехранилища СПК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</w:t>
      </w:r>
      <w:proofErr w:type="spellEnd"/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3E54" w:rsidRPr="0080683E" w:rsidRDefault="00EF3E54" w:rsidP="00EF3E5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Назначить ответственным по сбору, временному  размещению ртутьсодержащих ламп Главу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(</w:t>
      </w:r>
      <w:proofErr w:type="spellStart"/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>ахлачи</w:t>
      </w:r>
      <w:proofErr w:type="spellEnd"/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Пюрвю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Доржиевича</w:t>
      </w:r>
      <w:proofErr w:type="spellEnd"/>
      <w:proofErr w:type="gramStart"/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F3E54" w:rsidRPr="0080683E" w:rsidRDefault="00EF3E54" w:rsidP="00EF3E5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инструкцию по содержанию, сбору, хранению ртутьсодержащих ламп, </w:t>
      </w:r>
      <w:proofErr w:type="gramStart"/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гласно Приложения</w:t>
      </w:r>
      <w:proofErr w:type="gramEnd"/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 к настоящему постановлению.</w:t>
      </w:r>
    </w:p>
    <w:p w:rsidR="00EF3E54" w:rsidRPr="0080683E" w:rsidRDefault="00EF3E54" w:rsidP="00EF3E5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Специалисту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</w:t>
      </w: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публики Калмыкия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Этлеевой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Тамаре Васильевне</w:t>
      </w: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обеспечить  информирование населения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рунского</w:t>
      </w:r>
      <w:proofErr w:type="spellEnd"/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  о правилах безопа</w:t>
      </w: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сбора и передачи на хранение отработанных ртутьсодержащих ламп, путем информиров</w:t>
      </w: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на  информационных стендах, на сходе граждан, на официальном  сайте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Калмыкия.</w:t>
      </w:r>
    </w:p>
    <w:p w:rsidR="00EF3E54" w:rsidRPr="0080683E" w:rsidRDefault="00EF3E54" w:rsidP="00EF3E5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</w:t>
      </w: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>мыкия заключить договор со специализированной организацией о передаче ртутьсодержащих ламп, для последующей утилизации.</w:t>
      </w:r>
    </w:p>
    <w:p w:rsidR="00EF3E54" w:rsidRPr="0080683E" w:rsidRDefault="00EF3E54" w:rsidP="00EF3E5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  (о</w:t>
      </w: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народования)</w:t>
      </w:r>
    </w:p>
    <w:p w:rsidR="00EF3E54" w:rsidRPr="0080683E" w:rsidRDefault="00EF3E54" w:rsidP="00EF3E54">
      <w:pPr>
        <w:shd w:val="clear" w:color="auto" w:fill="FFFFFF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EF3E54" w:rsidRPr="0080683E" w:rsidRDefault="00EF3E54" w:rsidP="00EF3E54">
      <w:pPr>
        <w:shd w:val="clear" w:color="auto" w:fill="FFFFFF"/>
        <w:spacing w:before="1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Барунского</w:t>
      </w:r>
      <w:proofErr w:type="spellEnd"/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</w:p>
    <w:p w:rsidR="00EF3E54" w:rsidRPr="0080683E" w:rsidRDefault="00EF3E54" w:rsidP="00EF3E54">
      <w:pPr>
        <w:shd w:val="clear" w:color="auto" w:fill="FFFFFF"/>
        <w:spacing w:before="1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EF3E54" w:rsidRPr="0080683E" w:rsidRDefault="00EF3E54" w:rsidP="00EF3E54">
      <w:pPr>
        <w:shd w:val="clear" w:color="auto" w:fill="FFFFFF"/>
        <w:spacing w:before="1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Калмыкия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П.Д.</w:t>
      </w:r>
    </w:p>
    <w:p w:rsidR="00EF3E54" w:rsidRPr="0080683E" w:rsidRDefault="00EF3E54" w:rsidP="00EF3E54">
      <w:pPr>
        <w:shd w:val="clear" w:color="auto" w:fill="FFFFFF"/>
        <w:spacing w:before="10"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E54" w:rsidRPr="0080683E" w:rsidRDefault="00EF3E54" w:rsidP="00EF3E54">
      <w:pPr>
        <w:shd w:val="clear" w:color="auto" w:fill="FFFFFF"/>
        <w:spacing w:before="10"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E54" w:rsidRPr="0080683E" w:rsidRDefault="00EF3E54" w:rsidP="00EF3E54">
      <w:pPr>
        <w:shd w:val="clear" w:color="auto" w:fill="FFFFFF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E54" w:rsidRPr="0080683E" w:rsidRDefault="00EF3E54" w:rsidP="00EF3E54">
      <w:pPr>
        <w:shd w:val="clear" w:color="auto" w:fill="FFFFFF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E54" w:rsidRPr="0080683E" w:rsidRDefault="00EF3E54" w:rsidP="00EF3E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EF3E54" w:rsidRPr="0080683E" w:rsidRDefault="00EF3E54" w:rsidP="00EF3E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постановлению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3E54" w:rsidRPr="0080683E" w:rsidRDefault="00EF3E54" w:rsidP="00EF3E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 муниципального образования Республики Калмыкия </w:t>
      </w:r>
    </w:p>
    <w:p w:rsidR="00EF3E54" w:rsidRPr="0080683E" w:rsidRDefault="00EF3E54" w:rsidP="00EF3E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F3E54" w:rsidRPr="0080683E" w:rsidRDefault="00EF3E54" w:rsidP="00EF3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6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Инструкция </w:t>
      </w:r>
    </w:p>
    <w:p w:rsidR="00EF3E54" w:rsidRPr="0080683E" w:rsidRDefault="00EF3E54" w:rsidP="00EF3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6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сбору, размещению, учету и  передаче  </w:t>
      </w:r>
      <w:proofErr w:type="gramStart"/>
      <w:r w:rsidRPr="00806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отработанных</w:t>
      </w:r>
      <w:proofErr w:type="gramEnd"/>
    </w:p>
    <w:p w:rsidR="00EF3E54" w:rsidRPr="0080683E" w:rsidRDefault="00EF3E54" w:rsidP="00EF3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6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ртутьсодержащих  ламп</w:t>
      </w:r>
    </w:p>
    <w:p w:rsidR="00EF3E54" w:rsidRPr="0080683E" w:rsidRDefault="00EF3E54" w:rsidP="00EF3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3E54" w:rsidRPr="0080683E" w:rsidRDefault="00EF3E54" w:rsidP="00EF3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3E54" w:rsidRPr="0080683E" w:rsidRDefault="00EF3E54" w:rsidP="00EF3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,BoldItalic"/>
          <w:b/>
          <w:bCs/>
          <w:iCs/>
          <w:sz w:val="24"/>
          <w:szCs w:val="24"/>
          <w:lang w:eastAsia="ru-RU"/>
        </w:rPr>
      </w:pPr>
      <w:r w:rsidRPr="0080683E">
        <w:rPr>
          <w:rFonts w:ascii="Times New Roman" w:eastAsia="Times New Roman" w:hAnsi="Times New Roman" w:cs="Times New Roman,BoldItalic"/>
          <w:b/>
          <w:bCs/>
          <w:iCs/>
          <w:sz w:val="24"/>
          <w:szCs w:val="24"/>
          <w:lang w:eastAsia="ru-RU"/>
        </w:rPr>
        <w:t>1.Общие положения</w:t>
      </w:r>
    </w:p>
    <w:p w:rsidR="00EF3E54" w:rsidRPr="0080683E" w:rsidRDefault="00EF3E54" w:rsidP="00EF3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,BoldItalic"/>
          <w:b/>
          <w:bCs/>
          <w:iCs/>
          <w:sz w:val="24"/>
          <w:szCs w:val="24"/>
          <w:lang w:eastAsia="ru-RU"/>
        </w:rPr>
      </w:pPr>
    </w:p>
    <w:p w:rsidR="00EF3E54" w:rsidRPr="0080683E" w:rsidRDefault="00EF3E54" w:rsidP="00EF3E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83E">
        <w:rPr>
          <w:rFonts w:ascii="Times New Roman" w:eastAsia="Times New Roman" w:hAnsi="Times New Roman" w:cs="Times New Roman,Bold"/>
          <w:bCs/>
          <w:sz w:val="24"/>
          <w:szCs w:val="24"/>
          <w:lang w:eastAsia="ru-RU"/>
        </w:rPr>
        <w:t xml:space="preserve">1.1.Отходы </w:t>
      </w:r>
      <w:r w:rsidRPr="008068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I </w:t>
      </w:r>
      <w:r w:rsidRPr="0080683E">
        <w:rPr>
          <w:rFonts w:ascii="Times New Roman" w:eastAsia="Times New Roman" w:hAnsi="Times New Roman" w:cs="Times New Roman,Bold"/>
          <w:bCs/>
          <w:sz w:val="24"/>
          <w:szCs w:val="24"/>
          <w:lang w:eastAsia="ru-RU"/>
        </w:rPr>
        <w:t xml:space="preserve">класса опасности (чрезвычайно опасные) </w:t>
      </w: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отработанные ртутьсодержащие лампы (далее ОРТЛ) - подлежат сбору и отправке на </w:t>
      </w:r>
      <w:proofErr w:type="spellStart"/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демеркуризацию</w:t>
      </w:r>
      <w:proofErr w:type="spellEnd"/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3E54" w:rsidRPr="0080683E" w:rsidRDefault="00EF3E54" w:rsidP="00EF3E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8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 </w:t>
      </w:r>
      <w:r w:rsidRPr="0080683E">
        <w:rPr>
          <w:rFonts w:ascii="Times New Roman" w:eastAsia="Times New Roman" w:hAnsi="Times New Roman" w:cs="Times New Roman,Bold"/>
          <w:bCs/>
          <w:sz w:val="24"/>
          <w:szCs w:val="24"/>
          <w:lang w:eastAsia="ru-RU"/>
        </w:rPr>
        <w:t>Ртутьсодержащие лампы (</w:t>
      </w:r>
      <w:r w:rsidRPr="008068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PTJ1) </w:t>
      </w:r>
      <w:r w:rsidRPr="0080683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лампы типа ДРЛ, ЛБ, ЛД, L18/20 и F18/W54 (не российского производства), и другие типы ламп, используемые для освещения в помещениях организации.</w:t>
      </w:r>
    </w:p>
    <w:p w:rsidR="00EF3E54" w:rsidRPr="0080683E" w:rsidRDefault="00EF3E54" w:rsidP="00EF3E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8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1.3. </w:t>
      </w:r>
      <w:r w:rsidRPr="0080683E">
        <w:rPr>
          <w:rFonts w:ascii="Times New Roman" w:eastAsia="Times New Roman" w:hAnsi="Times New Roman" w:cs="Times New Roman,Bold"/>
          <w:bCs/>
          <w:sz w:val="24"/>
          <w:szCs w:val="24"/>
          <w:lang w:eastAsia="ru-RU"/>
        </w:rPr>
        <w:t xml:space="preserve">Отработанные ртутьсодержащие лампы </w:t>
      </w:r>
      <w:r w:rsidRPr="0080683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отработанные или пришедшие в него</w:t>
      </w: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РТЛ.</w:t>
      </w:r>
    </w:p>
    <w:p w:rsidR="00EF3E54" w:rsidRPr="0080683E" w:rsidRDefault="00EF3E54" w:rsidP="00EF3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,BoldItalic"/>
          <w:b/>
          <w:bCs/>
          <w:iCs/>
          <w:sz w:val="24"/>
          <w:szCs w:val="24"/>
          <w:lang w:eastAsia="ru-RU"/>
        </w:rPr>
      </w:pPr>
      <w:r w:rsidRPr="0080683E">
        <w:rPr>
          <w:rFonts w:ascii="Times New Roman" w:eastAsia="Times New Roman" w:hAnsi="Times New Roman" w:cs="Times New Roman,BoldItalic"/>
          <w:b/>
          <w:bCs/>
          <w:iCs/>
          <w:sz w:val="24"/>
          <w:szCs w:val="24"/>
          <w:lang w:eastAsia="ru-RU"/>
        </w:rPr>
        <w:t>2.Условия размещения отработанных ртутьсодержащих ламп.</w:t>
      </w:r>
    </w:p>
    <w:p w:rsidR="00EF3E54" w:rsidRPr="0080683E" w:rsidRDefault="00EF3E54" w:rsidP="00EF3E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,BoldItalic"/>
          <w:b/>
          <w:bCs/>
          <w:iCs/>
          <w:sz w:val="24"/>
          <w:szCs w:val="24"/>
          <w:lang w:eastAsia="ru-RU"/>
        </w:rPr>
      </w:pPr>
    </w:p>
    <w:p w:rsidR="00EF3E54" w:rsidRPr="0080683E" w:rsidRDefault="00EF3E54" w:rsidP="00EF3E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Главным условием при замене и сборе ОРТЛ является сохранение герметичности.</w:t>
      </w:r>
    </w:p>
    <w:p w:rsidR="00EF3E54" w:rsidRPr="0080683E" w:rsidRDefault="00EF3E54" w:rsidP="00EF3E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Сбор ОРТЛ необходимо производить отдельно от обычного мусора.</w:t>
      </w:r>
    </w:p>
    <w:p w:rsidR="00EF3E54" w:rsidRPr="0080683E" w:rsidRDefault="00EF3E54" w:rsidP="00EF3E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Для каждого типа лампы должна быть предусмотрена своя отдельная упаковка, к</w:t>
      </w: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торая должна быть подписана (указывать тип ламп, марку, длину, диаметр, максимальное кол</w:t>
      </w: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чество). Допускается обертывание липкой лентой для исключения выпадения ртутных ламп.</w:t>
      </w:r>
    </w:p>
    <w:p w:rsidR="00EF3E54" w:rsidRPr="0080683E" w:rsidRDefault="00EF3E54" w:rsidP="00EF3E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После упаковки ОРТЛ их следует сложить в отдельную закрытую коробку из дерева размером </w:t>
      </w:r>
      <w:smartTag w:uri="urn:schemas-microsoft-com:office:smarttags" w:element="metricconverter">
        <w:smartTagPr>
          <w:attr w:name="ProductID" w:val="130 см"/>
        </w:smartTagPr>
        <w:r w:rsidRPr="008068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130 см</w:t>
        </w:r>
      </w:smartTag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</w:t>
      </w:r>
      <w:smartTag w:uri="urn:schemas-microsoft-com:office:smarttags" w:element="metricconverter">
        <w:smartTagPr>
          <w:attr w:name="ProductID" w:val="30 см"/>
        </w:smartTagPr>
        <w:r w:rsidRPr="008068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30 см</w:t>
        </w:r>
      </w:smartTag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</w:t>
      </w:r>
      <w:smartTag w:uri="urn:schemas-microsoft-com:office:smarttags" w:element="metricconverter">
        <w:smartTagPr>
          <w:attr w:name="ProductID" w:val="25 см"/>
        </w:smartTagPr>
        <w:r w:rsidRPr="008068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 см</w:t>
        </w:r>
      </w:smartTag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06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окрашенную в красный цвет с надписью</w:t>
      </w:r>
    </w:p>
    <w:p w:rsidR="00EF3E54" w:rsidRPr="0080683E" w:rsidRDefault="00EF3E54" w:rsidP="00EF3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«Отработанные ртутьсодержащие лампы».</w:t>
      </w:r>
    </w:p>
    <w:p w:rsidR="00EF3E54" w:rsidRPr="0080683E" w:rsidRDefault="00EF3E54" w:rsidP="00EF3E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Помещение, предназначенное для хранения ОРТЛ, должно быть защищено от хим</w:t>
      </w: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 агрессивных сред, атмосферных осадков, грунтовых вод. Двери помещения должны быть надежно закрыты</w:t>
      </w:r>
      <w:proofErr w:type="gramStart"/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F3E54" w:rsidRPr="0080683E" w:rsidRDefault="00EF3E54" w:rsidP="00EF3E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Разбитые лампы должны немедленно, после события, собираться в полиэтиленовые мешки, плотно завязываться и помещаться в плотные картонные или фанерные коробки. Раб</w:t>
      </w: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 сбору и упаковке разбитых ламп проводить с применением средств индивидуальной з</w:t>
      </w: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щиты органов дыхания. На разбитые лампы составляется акт произвольной формы, в котором указывается тип разбитых ламп, их количество, дата  происшествия, место происшествия.</w:t>
      </w:r>
    </w:p>
    <w:p w:rsidR="00EF3E54" w:rsidRPr="0080683E" w:rsidRDefault="00EF3E54" w:rsidP="00EF3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E54" w:rsidRPr="0080683E" w:rsidRDefault="00EF3E54" w:rsidP="00EF3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,BoldItalic"/>
          <w:b/>
          <w:bCs/>
          <w:iCs/>
          <w:sz w:val="24"/>
          <w:szCs w:val="24"/>
          <w:lang w:eastAsia="ru-RU"/>
        </w:rPr>
      </w:pPr>
      <w:r w:rsidRPr="0080683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3. </w:t>
      </w:r>
      <w:r w:rsidRPr="0080683E">
        <w:rPr>
          <w:rFonts w:ascii="Times New Roman" w:eastAsia="Times New Roman" w:hAnsi="Times New Roman" w:cs="Times New Roman,BoldItalic"/>
          <w:b/>
          <w:bCs/>
          <w:iCs/>
          <w:sz w:val="24"/>
          <w:szCs w:val="24"/>
          <w:lang w:eastAsia="ru-RU"/>
        </w:rPr>
        <w:t>Учет отработанных ртутьсодержащих ламп</w:t>
      </w:r>
    </w:p>
    <w:p w:rsidR="00EF3E54" w:rsidRPr="0080683E" w:rsidRDefault="00EF3E54" w:rsidP="00EF3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,BoldItalic"/>
          <w:b/>
          <w:bCs/>
          <w:iCs/>
          <w:sz w:val="24"/>
          <w:szCs w:val="24"/>
          <w:lang w:eastAsia="ru-RU"/>
        </w:rPr>
      </w:pPr>
    </w:p>
    <w:p w:rsidR="00EF3E54" w:rsidRPr="0080683E" w:rsidRDefault="00EF3E54" w:rsidP="00EF3E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Учёт ведётся в специальном журнале, где в обязательном порядке отмечается дв</w:t>
      </w: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 целых ртутьсодержащих ламп и OPTJI.</w:t>
      </w:r>
    </w:p>
    <w:p w:rsidR="00EF3E54" w:rsidRPr="0080683E" w:rsidRDefault="00EF3E54" w:rsidP="00EF3E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Страницы журнала должны быть пронумерованы, прошнурованы и скреплены.</w:t>
      </w:r>
    </w:p>
    <w:p w:rsidR="00EF3E54" w:rsidRPr="0080683E" w:rsidRDefault="00EF3E54" w:rsidP="00EF3E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  Журнал учёта должен заполняться ответственным лицом в него вносятся данные о поступивших целых и отработанных лампах. Обязательно указывается марка ламп, количество, дата приёмки и лицо которое сдаёт лампы.</w:t>
      </w:r>
    </w:p>
    <w:p w:rsidR="00EF3E54" w:rsidRPr="0080683E" w:rsidRDefault="00EF3E54" w:rsidP="00EF3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E54" w:rsidRPr="0080683E" w:rsidRDefault="00EF3E54" w:rsidP="00EF3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,BoldItalic"/>
          <w:b/>
          <w:bCs/>
          <w:iCs/>
          <w:sz w:val="24"/>
          <w:szCs w:val="24"/>
          <w:lang w:eastAsia="ru-RU"/>
        </w:rPr>
      </w:pPr>
      <w:r w:rsidRPr="0080683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4. </w:t>
      </w:r>
      <w:r w:rsidRPr="0080683E">
        <w:rPr>
          <w:rFonts w:ascii="Times New Roman" w:eastAsia="Times New Roman" w:hAnsi="Times New Roman" w:cs="Times New Roman,BoldItalic"/>
          <w:b/>
          <w:bCs/>
          <w:iCs/>
          <w:sz w:val="24"/>
          <w:szCs w:val="24"/>
          <w:lang w:eastAsia="ru-RU"/>
        </w:rPr>
        <w:t xml:space="preserve">Порядок передачи отработанных ртутьсодержащих ламп </w:t>
      </w:r>
    </w:p>
    <w:p w:rsidR="00EF3E54" w:rsidRPr="0080683E" w:rsidRDefault="00EF3E54" w:rsidP="00EF3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,BoldItalic"/>
          <w:b/>
          <w:bCs/>
          <w:iCs/>
          <w:sz w:val="24"/>
          <w:szCs w:val="24"/>
          <w:lang w:eastAsia="ru-RU"/>
        </w:rPr>
      </w:pPr>
      <w:proofErr w:type="spellStart"/>
      <w:r w:rsidRPr="0080683E">
        <w:rPr>
          <w:rFonts w:ascii="Times New Roman" w:eastAsia="Times New Roman" w:hAnsi="Times New Roman" w:cs="Times New Roman,BoldItalic"/>
          <w:b/>
          <w:bCs/>
          <w:iCs/>
          <w:sz w:val="24"/>
          <w:szCs w:val="24"/>
          <w:lang w:eastAsia="ru-RU"/>
        </w:rPr>
        <w:t>наутилизирующие</w:t>
      </w:r>
      <w:proofErr w:type="spellEnd"/>
      <w:r w:rsidRPr="0080683E">
        <w:rPr>
          <w:rFonts w:ascii="Times New Roman" w:eastAsia="Times New Roman" w:hAnsi="Times New Roman" w:cs="Times New Roman,BoldItalic"/>
          <w:b/>
          <w:bCs/>
          <w:iCs/>
          <w:sz w:val="24"/>
          <w:szCs w:val="24"/>
          <w:lang w:eastAsia="ru-RU"/>
        </w:rPr>
        <w:t xml:space="preserve"> предприятия</w:t>
      </w:r>
    </w:p>
    <w:p w:rsidR="00EF3E54" w:rsidRPr="0080683E" w:rsidRDefault="00EF3E54" w:rsidP="00EF3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,BoldItalic"/>
          <w:b/>
          <w:bCs/>
          <w:iCs/>
          <w:sz w:val="24"/>
          <w:szCs w:val="24"/>
          <w:lang w:eastAsia="ru-RU"/>
        </w:rPr>
      </w:pPr>
    </w:p>
    <w:p w:rsidR="00EF3E54" w:rsidRPr="0080683E" w:rsidRDefault="00EF3E54" w:rsidP="00EF3E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Отработанные ртутьсодержащие лампы по мере накопления передаются </w:t>
      </w:r>
      <w:proofErr w:type="gramStart"/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F3E54" w:rsidRPr="0080683E" w:rsidRDefault="00EF3E54" w:rsidP="00EF3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специализированную организацию для последующей утилизации (</w:t>
      </w:r>
      <w:proofErr w:type="spellStart"/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демеркуризации</w:t>
      </w:r>
      <w:proofErr w:type="spellEnd"/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ртутных отходов  </w:t>
      </w:r>
      <w:proofErr w:type="gramStart"/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договора</w:t>
      </w:r>
      <w:proofErr w:type="gramEnd"/>
      <w:r w:rsidRPr="008068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3E54" w:rsidRPr="0080683E" w:rsidRDefault="00EF3E54" w:rsidP="00EF3E54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3E54" w:rsidRPr="0080683E" w:rsidRDefault="00EF3E54" w:rsidP="00EF3E54">
      <w:pPr>
        <w:shd w:val="clear" w:color="auto" w:fill="FFFFFF"/>
        <w:spacing w:before="10"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E54" w:rsidRPr="0080683E" w:rsidRDefault="00EF3E54" w:rsidP="00EF3E54">
      <w:pPr>
        <w:shd w:val="clear" w:color="auto" w:fill="FFFFFF"/>
        <w:spacing w:before="10"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E54" w:rsidRPr="0080683E" w:rsidRDefault="00EF3E54" w:rsidP="00EF3E54">
      <w:pPr>
        <w:shd w:val="clear" w:color="auto" w:fill="FFFFFF"/>
        <w:spacing w:before="10"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E54" w:rsidRPr="0080683E" w:rsidRDefault="00EF3E54" w:rsidP="00EF3E54">
      <w:pPr>
        <w:shd w:val="clear" w:color="auto" w:fill="FFFFFF"/>
        <w:spacing w:before="10"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E54" w:rsidRPr="0080683E" w:rsidRDefault="00EF3E54" w:rsidP="00EF3E54">
      <w:pPr>
        <w:shd w:val="clear" w:color="auto" w:fill="FFFFFF"/>
        <w:spacing w:before="10"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E54" w:rsidRDefault="00EF3E54" w:rsidP="00EF3E54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FF0000"/>
          <w:sz w:val="24"/>
          <w:szCs w:val="24"/>
          <w:lang w:eastAsia="ru-RU"/>
        </w:rPr>
      </w:pPr>
    </w:p>
    <w:p w:rsidR="00EF3E54" w:rsidRDefault="00EF3E54" w:rsidP="00EF3E54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FF0000"/>
          <w:sz w:val="24"/>
          <w:szCs w:val="24"/>
          <w:lang w:eastAsia="ru-RU"/>
        </w:rPr>
      </w:pPr>
    </w:p>
    <w:p w:rsidR="00EF3E54" w:rsidRDefault="00EF3E54" w:rsidP="00EF3E54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FF0000"/>
          <w:sz w:val="24"/>
          <w:szCs w:val="24"/>
          <w:lang w:eastAsia="ru-RU"/>
        </w:rPr>
      </w:pPr>
    </w:p>
    <w:p w:rsidR="00EF3E54" w:rsidRDefault="00EF3E54" w:rsidP="00EF3E54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FF0000"/>
          <w:sz w:val="24"/>
          <w:szCs w:val="24"/>
          <w:lang w:eastAsia="ru-RU"/>
        </w:rPr>
      </w:pPr>
    </w:p>
    <w:p w:rsidR="00EF3E54" w:rsidRDefault="00EF3E54" w:rsidP="00EF3E54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FF0000"/>
          <w:sz w:val="24"/>
          <w:szCs w:val="24"/>
          <w:lang w:eastAsia="ru-RU"/>
        </w:rPr>
      </w:pPr>
    </w:p>
    <w:p w:rsidR="00EF3E54" w:rsidRDefault="00EF3E54" w:rsidP="00EF3E54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FF0000"/>
          <w:sz w:val="24"/>
          <w:szCs w:val="24"/>
          <w:lang w:eastAsia="ru-RU"/>
        </w:rPr>
      </w:pPr>
    </w:p>
    <w:p w:rsidR="00EF3E54" w:rsidRDefault="00EF3E54" w:rsidP="00EF3E54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FF0000"/>
          <w:sz w:val="24"/>
          <w:szCs w:val="24"/>
          <w:lang w:eastAsia="ru-RU"/>
        </w:rPr>
      </w:pPr>
    </w:p>
    <w:p w:rsidR="00EF3E54" w:rsidRDefault="00EF3E54" w:rsidP="00EF3E54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FF0000"/>
          <w:sz w:val="24"/>
          <w:szCs w:val="24"/>
          <w:lang w:eastAsia="ru-RU"/>
        </w:rPr>
      </w:pPr>
    </w:p>
    <w:p w:rsidR="00EF3E54" w:rsidRDefault="00EF3E54" w:rsidP="00EF3E54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FF0000"/>
          <w:sz w:val="24"/>
          <w:szCs w:val="24"/>
          <w:lang w:eastAsia="ru-RU"/>
        </w:rPr>
      </w:pPr>
    </w:p>
    <w:p w:rsidR="00EF3E54" w:rsidRDefault="00EF3E54" w:rsidP="00EF3E54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FF0000"/>
          <w:sz w:val="24"/>
          <w:szCs w:val="24"/>
          <w:lang w:eastAsia="ru-RU"/>
        </w:rPr>
      </w:pPr>
    </w:p>
    <w:p w:rsidR="00EF3E54" w:rsidRDefault="00EF3E54" w:rsidP="00EF3E54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FF0000"/>
          <w:sz w:val="24"/>
          <w:szCs w:val="24"/>
          <w:lang w:eastAsia="ru-RU"/>
        </w:rPr>
      </w:pPr>
    </w:p>
    <w:p w:rsidR="00EF3E54" w:rsidRDefault="00EF3E54" w:rsidP="00EF3E54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FF0000"/>
          <w:sz w:val="24"/>
          <w:szCs w:val="24"/>
          <w:lang w:eastAsia="ru-RU"/>
        </w:rPr>
      </w:pPr>
    </w:p>
    <w:p w:rsidR="00EF3E54" w:rsidRDefault="00EF3E54" w:rsidP="00EF3E54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FF0000"/>
          <w:sz w:val="24"/>
          <w:szCs w:val="24"/>
          <w:lang w:eastAsia="ru-RU"/>
        </w:rPr>
      </w:pPr>
    </w:p>
    <w:p w:rsidR="00EF3E54" w:rsidRDefault="00EF3E54" w:rsidP="00EF3E54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FF0000"/>
          <w:sz w:val="24"/>
          <w:szCs w:val="24"/>
          <w:lang w:eastAsia="ru-RU"/>
        </w:rPr>
      </w:pPr>
    </w:p>
    <w:p w:rsidR="00EF3E54" w:rsidRDefault="00EF3E54" w:rsidP="00EF3E54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FF0000"/>
          <w:sz w:val="24"/>
          <w:szCs w:val="24"/>
          <w:lang w:eastAsia="ru-RU"/>
        </w:rPr>
      </w:pPr>
    </w:p>
    <w:p w:rsidR="00EF3E54" w:rsidRDefault="00EF3E54" w:rsidP="00EF3E54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FF0000"/>
          <w:sz w:val="24"/>
          <w:szCs w:val="24"/>
          <w:lang w:eastAsia="ru-RU"/>
        </w:rPr>
      </w:pPr>
    </w:p>
    <w:p w:rsidR="00EF3E54" w:rsidRDefault="00EF3E54" w:rsidP="00EF3E54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FF0000"/>
          <w:sz w:val="24"/>
          <w:szCs w:val="24"/>
          <w:lang w:eastAsia="ru-RU"/>
        </w:rPr>
      </w:pPr>
    </w:p>
    <w:p w:rsidR="00EF3E54" w:rsidRDefault="00EF3E54" w:rsidP="00EF3E54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FF0000"/>
          <w:sz w:val="24"/>
          <w:szCs w:val="24"/>
          <w:lang w:eastAsia="ru-RU"/>
        </w:rPr>
      </w:pPr>
    </w:p>
    <w:p w:rsidR="00EF3E54" w:rsidRDefault="00EF3E54" w:rsidP="00EF3E54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FF0000"/>
          <w:sz w:val="24"/>
          <w:szCs w:val="24"/>
          <w:lang w:eastAsia="ru-RU"/>
        </w:rPr>
      </w:pPr>
    </w:p>
    <w:p w:rsidR="00EF3E54" w:rsidRDefault="00EF3E54" w:rsidP="00EF3E54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FF0000"/>
          <w:sz w:val="24"/>
          <w:szCs w:val="24"/>
          <w:lang w:eastAsia="ru-RU"/>
        </w:rPr>
      </w:pPr>
    </w:p>
    <w:p w:rsidR="00EF3E54" w:rsidRDefault="00EF3E54" w:rsidP="00EF3E54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FF0000"/>
          <w:sz w:val="24"/>
          <w:szCs w:val="24"/>
          <w:lang w:eastAsia="ru-RU"/>
        </w:rPr>
      </w:pPr>
    </w:p>
    <w:p w:rsidR="00EF3E54" w:rsidRDefault="00EF3E54" w:rsidP="00EF3E54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FF0000"/>
          <w:sz w:val="24"/>
          <w:szCs w:val="24"/>
          <w:lang w:eastAsia="ru-RU"/>
        </w:rPr>
      </w:pPr>
    </w:p>
    <w:p w:rsidR="00EF3E54" w:rsidRDefault="00EF3E54" w:rsidP="00EF3E54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FF0000"/>
          <w:sz w:val="24"/>
          <w:szCs w:val="24"/>
          <w:lang w:eastAsia="ru-RU"/>
        </w:rPr>
      </w:pPr>
    </w:p>
    <w:p w:rsidR="005A12E9" w:rsidRDefault="005A12E9">
      <w:bookmarkStart w:id="0" w:name="_GoBack"/>
      <w:bookmarkEnd w:id="0"/>
    </w:p>
    <w:sectPr w:rsidR="005A1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973CC"/>
    <w:multiLevelType w:val="hybridMultilevel"/>
    <w:tmpl w:val="A7BED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2E9"/>
    <w:rsid w:val="005A12E9"/>
    <w:rsid w:val="00EF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E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2023-12-14T09:24:00Z</dcterms:created>
  <dcterms:modified xsi:type="dcterms:W3CDTF">2023-12-14T09:24:00Z</dcterms:modified>
</cp:coreProperties>
</file>