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AD751E" w:rsidRPr="004776B3" w:rsidTr="00F63CD5">
        <w:tc>
          <w:tcPr>
            <w:tcW w:w="4041" w:type="dxa"/>
            <w:vAlign w:val="center"/>
          </w:tcPr>
          <w:p w:rsidR="00AD751E" w:rsidRPr="004776B3" w:rsidRDefault="00AD751E" w:rsidP="00F63C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AD751E" w:rsidRPr="004776B3" w:rsidRDefault="00AD751E" w:rsidP="00F63C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AD751E" w:rsidRPr="004776B3" w:rsidRDefault="00AD751E" w:rsidP="00F63C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AD751E" w:rsidRPr="004776B3" w:rsidRDefault="00AD751E" w:rsidP="00F63C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AD751E" w:rsidRPr="004776B3" w:rsidRDefault="00AD751E" w:rsidP="00F63C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AD751E" w:rsidRPr="004776B3" w:rsidRDefault="00AD751E" w:rsidP="00F63C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27FB21" wp14:editId="66D9D669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AD751E" w:rsidRPr="004776B3" w:rsidRDefault="00AD751E" w:rsidP="00F63C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AD751E" w:rsidRPr="004776B3" w:rsidRDefault="00AD751E" w:rsidP="00F63C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AD751E" w:rsidRPr="004776B3" w:rsidRDefault="00AD751E" w:rsidP="00F63C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AD751E" w:rsidRPr="004776B3" w:rsidRDefault="00AD751E" w:rsidP="00F63C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AD751E" w:rsidRPr="004776B3" w:rsidRDefault="00AD751E" w:rsidP="00F63C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D751E" w:rsidRPr="004776B3" w:rsidRDefault="00AD751E" w:rsidP="00AD751E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AD751E" w:rsidRPr="004776B3" w:rsidRDefault="00AD751E" w:rsidP="00AD751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D751E" w:rsidRPr="009F5724" w:rsidRDefault="00AD751E" w:rsidP="00AD75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6B72">
        <w:rPr>
          <w:rFonts w:ascii="Times New Roman" w:eastAsia="Calibri" w:hAnsi="Times New Roman" w:cs="Times New Roman"/>
          <w:sz w:val="24"/>
          <w:szCs w:val="24"/>
        </w:rPr>
        <w:t>26</w:t>
      </w:r>
      <w:r w:rsidRPr="009F572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9F5724">
        <w:rPr>
          <w:rFonts w:ascii="Times New Roman" w:eastAsia="Calibri" w:hAnsi="Times New Roman" w:cs="Times New Roman"/>
          <w:sz w:val="24"/>
          <w:szCs w:val="24"/>
        </w:rPr>
        <w:t xml:space="preserve">.2023 г.                                                 № </w:t>
      </w:r>
      <w:r w:rsidRPr="00AC6B72">
        <w:rPr>
          <w:rFonts w:ascii="Times New Roman" w:eastAsia="Calibri" w:hAnsi="Times New Roman" w:cs="Times New Roman"/>
          <w:sz w:val="24"/>
          <w:szCs w:val="24"/>
        </w:rPr>
        <w:t>60</w:t>
      </w:r>
      <w:r w:rsidRPr="009F57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9F5724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AD751E" w:rsidRPr="00AC6B72" w:rsidRDefault="00AD751E" w:rsidP="00AD75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</w:t>
      </w:r>
      <w:proofErr w:type="gramStart"/>
      <w:r w:rsidRPr="00AC6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перечней главных администраторов доходов источников финансирования дефицита бюджета</w:t>
      </w:r>
      <w:proofErr w:type="gramEnd"/>
      <w:r w:rsidRPr="00AC6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C6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6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муниципального образования Республики Калмыкия на 2024г."</w:t>
      </w:r>
    </w:p>
    <w:p w:rsidR="00AD751E" w:rsidRPr="00AC6B72" w:rsidRDefault="00AD751E" w:rsidP="00AD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п. 3.2. статьи 160.1 и пунктом 4 ст. 160.2 Бюджетного  кодекса Росси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Федерации, Администрацией  </w:t>
      </w:r>
      <w:proofErr w:type="spellStart"/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 Ре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 Калмыкия</w:t>
      </w:r>
    </w:p>
    <w:p w:rsidR="00AD751E" w:rsidRPr="00AC6B72" w:rsidRDefault="00AD751E" w:rsidP="00AD7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D751E" w:rsidRPr="00AC6B72" w:rsidRDefault="00AD751E" w:rsidP="00AD75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главных администраторов доходов бюджета </w:t>
      </w:r>
      <w:proofErr w:type="spellStart"/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муниципального образования Республики Калмыкия на 2024 год (Приложение 1)</w:t>
      </w:r>
    </w:p>
    <w:p w:rsidR="00AD751E" w:rsidRPr="00AC6B72" w:rsidRDefault="00AD751E" w:rsidP="00AD75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о внесения изменений в перечень главных администраторов  доходов бюджета </w:t>
      </w:r>
      <w:proofErr w:type="spellStart"/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AD751E" w:rsidRPr="00AC6B72" w:rsidRDefault="00AD751E" w:rsidP="00AD751E">
      <w:pPr>
        <w:spacing w:after="0" w:line="36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Настоящее Постановление вступает в силу с момента подписания и применяется к прав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отношениям, возникающим при составлении и исполнении бюджета </w:t>
      </w:r>
      <w:proofErr w:type="spellStart"/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образования Республики Калмыкия  на 2024г. </w:t>
      </w:r>
    </w:p>
    <w:p w:rsidR="00AD751E" w:rsidRPr="00AC6B72" w:rsidRDefault="00AD751E" w:rsidP="00AD7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1E" w:rsidRPr="00955618" w:rsidRDefault="00AD751E" w:rsidP="00AD75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55618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AD751E" w:rsidRPr="00955618" w:rsidRDefault="00AD751E" w:rsidP="00AD75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AD751E" w:rsidRPr="00955618" w:rsidRDefault="00AD751E" w:rsidP="00AD75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AD751E" w:rsidRPr="00D10253" w:rsidRDefault="00AD751E" w:rsidP="00AD751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D751E" w:rsidRDefault="00AD751E" w:rsidP="00AD7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1E" w:rsidRDefault="00AD751E" w:rsidP="00AD7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1E" w:rsidRDefault="00AD751E" w:rsidP="00AD7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1E" w:rsidRDefault="00AD751E" w:rsidP="00AD7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1E" w:rsidRPr="00AC6B72" w:rsidRDefault="00AD751E" w:rsidP="00AD7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1E" w:rsidRPr="00AC6B72" w:rsidRDefault="00AD751E" w:rsidP="00AD751E">
      <w:pPr>
        <w:tabs>
          <w:tab w:val="left" w:pos="78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7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:rsidR="00AD751E" w:rsidRPr="00AC6B72" w:rsidRDefault="00AD751E" w:rsidP="00AD751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B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</w:t>
      </w:r>
      <w:proofErr w:type="spellStart"/>
      <w:r w:rsidRPr="00AC6B72">
        <w:rPr>
          <w:rFonts w:ascii="Times New Roman" w:eastAsia="Times New Roman" w:hAnsi="Times New Roman" w:cs="Times New Roman"/>
          <w:sz w:val="18"/>
          <w:szCs w:val="18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AC6B72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</w:t>
      </w:r>
      <w:proofErr w:type="gramEnd"/>
      <w:r w:rsidRPr="00AC6B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</w:t>
      </w:r>
    </w:p>
    <w:p w:rsidR="00AD751E" w:rsidRPr="00AC6B72" w:rsidRDefault="00AD751E" w:rsidP="00AD751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B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образования Республики Калмыкия №60 от 27 декабря 2023г </w:t>
      </w:r>
    </w:p>
    <w:p w:rsidR="00AD751E" w:rsidRPr="00AC6B72" w:rsidRDefault="00AD751E" w:rsidP="00AD7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751E" w:rsidRPr="00AC6B72" w:rsidRDefault="00AD751E" w:rsidP="00AD75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4"/>
          <w:lang w:eastAsia="ru-RU"/>
        </w:rPr>
      </w:pPr>
      <w:bookmarkStart w:id="0" w:name="_Администраторы_доходов_республиканс"/>
      <w:bookmarkEnd w:id="0"/>
    </w:p>
    <w:p w:rsidR="00AD751E" w:rsidRPr="00AC6B72" w:rsidRDefault="00AD751E" w:rsidP="00AD75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4"/>
          <w:lang w:eastAsia="ru-RU"/>
        </w:rPr>
      </w:pPr>
      <w:r w:rsidRPr="00AC6B72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Перечень </w:t>
      </w:r>
    </w:p>
    <w:p w:rsidR="00AD751E" w:rsidRPr="00AC6B72" w:rsidRDefault="00AD751E" w:rsidP="00AD75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4"/>
          <w:lang w:eastAsia="ru-RU"/>
        </w:rPr>
      </w:pPr>
      <w:r w:rsidRPr="00AC6B72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главных администраторов доходов бюджета </w:t>
      </w:r>
      <w:proofErr w:type="spellStart"/>
      <w:r w:rsidRPr="00AC6B72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 сельского  муниципального образования Республ</w:t>
      </w:r>
      <w:r w:rsidRPr="00AC6B72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>и</w:t>
      </w:r>
      <w:r w:rsidRPr="00AC6B72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ки Калмыкия – органов муниципальной власти </w:t>
      </w:r>
      <w:proofErr w:type="spellStart"/>
      <w:r w:rsidRPr="00AC6B72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>Юстинского</w:t>
      </w:r>
      <w:proofErr w:type="spellEnd"/>
      <w:r w:rsidRPr="00AC6B72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 района на 2024 год </w:t>
      </w: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759"/>
        <w:gridCol w:w="6446"/>
      </w:tblGrid>
      <w:tr w:rsidR="00AD751E" w:rsidRPr="00AC6B72" w:rsidTr="00F63CD5">
        <w:trPr>
          <w:cantSplit/>
          <w:trHeight w:val="20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keepNext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D751E" w:rsidRPr="00AC6B72" w:rsidRDefault="00AD751E" w:rsidP="00F63CD5">
            <w:pPr>
              <w:keepNext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6B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AC6B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</w:tr>
      <w:tr w:rsidR="00AD751E" w:rsidRPr="00AC6B72" w:rsidTr="00F63CD5">
        <w:trPr>
          <w:cantSplit/>
          <w:trHeight w:val="20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  <w:p w:rsidR="00AD751E" w:rsidRPr="00AC6B72" w:rsidRDefault="00AD751E" w:rsidP="00F63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D751E" w:rsidRPr="00AC6B72" w:rsidRDefault="00AD751E" w:rsidP="00F63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ностными лицами органов местного самоуправления, упо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номоченными в соответствии с законодательными актами РФ на совершение нотариальных действий</w:t>
            </w:r>
          </w:p>
        </w:tc>
      </w:tr>
      <w:tr w:rsidR="00AD751E" w:rsidRPr="00AC6B72" w:rsidTr="00F63CD5">
        <w:trPr>
          <w:cantSplit/>
          <w:trHeight w:val="20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1 08 04020 01 4000 110</w:t>
            </w:r>
          </w:p>
          <w:p w:rsidR="00AD751E" w:rsidRPr="00AC6B72" w:rsidRDefault="00AD751E" w:rsidP="00F63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D751E" w:rsidRPr="00AC6B72" w:rsidRDefault="00AD751E" w:rsidP="00F63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ностными лицами органов местного самоуправления, упо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номоченными в соответствии с законодательными актами РФ на совершение нотариальных действий</w:t>
            </w:r>
          </w:p>
        </w:tc>
      </w:tr>
      <w:tr w:rsidR="00AD751E" w:rsidRPr="00AC6B72" w:rsidTr="00F63CD5">
        <w:trPr>
          <w:cantSplit/>
          <w:trHeight w:val="20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</w:t>
            </w:r>
            <w:proofErr w:type="gramStart"/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 получат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лями средств бюджетов сельских поселений </w:t>
            </w:r>
          </w:p>
        </w:tc>
      </w:tr>
      <w:tr w:rsidR="00AD751E" w:rsidRPr="00AC6B72" w:rsidTr="00F63CD5">
        <w:trPr>
          <w:cantSplit/>
          <w:trHeight w:val="20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управлении учреждений, находящиеся в ведении органов управления сельских поселений (за исключением имущества муниципальных  бюджетных и автономных учреждений) в части реализации основных средств по указанному имущ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</w:t>
            </w:r>
            <w:proofErr w:type="gramEnd"/>
          </w:p>
        </w:tc>
      </w:tr>
      <w:tr w:rsidR="00AD751E" w:rsidRPr="00AC6B72" w:rsidTr="00F63CD5">
        <w:trPr>
          <w:cantSplit/>
          <w:trHeight w:val="987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управлении учреждений, находящиеся в ведении органов управления сельских  поселений (за исключением имущества муниципальных бюджетных и автономных учреждений) в части реализации материальных запасов по указанному им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ществу</w:t>
            </w:r>
            <w:proofErr w:type="gramEnd"/>
          </w:p>
        </w:tc>
      </w:tr>
      <w:tr w:rsidR="00AD751E" w:rsidRPr="00AC6B72" w:rsidTr="00F63CD5">
        <w:trPr>
          <w:cantSplit/>
          <w:trHeight w:val="994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D751E" w:rsidRPr="00AC6B72" w:rsidTr="00F63CD5">
        <w:trPr>
          <w:cantSplit/>
          <w:trHeight w:val="790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автономных учреждений, а также имущества м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AD751E" w:rsidRPr="00AC6B72" w:rsidTr="00F63CD5">
        <w:trPr>
          <w:cantSplit/>
          <w:trHeight w:val="601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функций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1E" w:rsidRPr="00AC6B72" w:rsidTr="00F63CD5">
        <w:trPr>
          <w:cantSplit/>
          <w:trHeight w:val="366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446" w:type="dxa"/>
            <w:vAlign w:val="center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</w:t>
            </w:r>
          </w:p>
        </w:tc>
      </w:tr>
      <w:tr w:rsidR="00AD751E" w:rsidRPr="00AC6B72" w:rsidTr="00F63CD5">
        <w:trPr>
          <w:cantSplit/>
          <w:trHeight w:val="409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446" w:type="dxa"/>
            <w:vAlign w:val="center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бюджеты сельских поселений</w:t>
            </w:r>
          </w:p>
        </w:tc>
      </w:tr>
      <w:tr w:rsidR="00AD751E" w:rsidRPr="00AC6B72" w:rsidTr="00F63CD5">
        <w:trPr>
          <w:cantSplit/>
          <w:trHeight w:val="827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1 17 02020 10 0000 180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1 11 0503510 0000 120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ложенных на территориях сельских поселений (по обязател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ствам, возникшим до 1 января 2008 года)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D751E" w:rsidRPr="00AC6B72" w:rsidTr="00F63CD5">
        <w:trPr>
          <w:cantSplit/>
          <w:trHeight w:val="1365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446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осуществление такого возврата и процентов, начисле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излишне взысканные суммы</w:t>
            </w:r>
          </w:p>
        </w:tc>
      </w:tr>
      <w:tr w:rsidR="00AD751E" w:rsidRPr="00AC6B72" w:rsidTr="00F63CD5">
        <w:trPr>
          <w:cantSplit/>
          <w:trHeight w:val="703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D751E" w:rsidRPr="00AC6B72" w:rsidTr="00F63CD5">
        <w:trPr>
          <w:cantSplit/>
          <w:trHeight w:val="713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2 02 20077 10 0000 150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AC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</w:t>
            </w:r>
            <w:r w:rsidRPr="00AC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AC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</w:t>
            </w:r>
            <w:r w:rsidRPr="00AC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</w:tr>
      <w:tr w:rsidR="00AD751E" w:rsidRPr="00AC6B72" w:rsidTr="00F63CD5">
        <w:trPr>
          <w:cantSplit/>
          <w:trHeight w:val="371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D751E" w:rsidRPr="00AC6B72" w:rsidTr="00F63CD5">
        <w:trPr>
          <w:cantSplit/>
          <w:trHeight w:val="679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2 02 35118 10 0000 150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751E" w:rsidRPr="00AC6B72" w:rsidTr="00F63CD5">
        <w:trPr>
          <w:cantSplit/>
          <w:trHeight w:val="679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</w:p>
        </w:tc>
      </w:tr>
      <w:tr w:rsidR="00AD751E" w:rsidRPr="00AC6B72" w:rsidTr="00F63CD5">
        <w:trPr>
          <w:cantSplit/>
          <w:trHeight w:val="679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2 02 45146 10 0000 150</w:t>
            </w: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технологий и оцифровки</w:t>
            </w:r>
          </w:p>
        </w:tc>
      </w:tr>
      <w:tr w:rsidR="00AD751E" w:rsidRPr="00AC6B72" w:rsidTr="00F63CD5">
        <w:trPr>
          <w:cantSplit/>
          <w:trHeight w:val="679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2 02 29999 10 0000 150</w:t>
            </w:r>
          </w:p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D751E" w:rsidRPr="00AC6B72" w:rsidRDefault="00AD751E" w:rsidP="00F63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  <w:p w:rsidR="00AD751E" w:rsidRPr="00AC6B72" w:rsidRDefault="00AD751E" w:rsidP="00F6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1E" w:rsidRPr="00AC6B72" w:rsidTr="00F63CD5">
        <w:trPr>
          <w:cantSplit/>
          <w:trHeight w:val="560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2 02 20051 10 0000 150</w:t>
            </w:r>
          </w:p>
          <w:p w:rsidR="00AD751E" w:rsidRPr="00AC6B72" w:rsidRDefault="00AD751E" w:rsidP="00F63CD5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ф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деральных целевых программ</w:t>
            </w:r>
          </w:p>
        </w:tc>
      </w:tr>
      <w:tr w:rsidR="00AD751E" w:rsidRPr="00AC6B72" w:rsidTr="00F63CD5">
        <w:trPr>
          <w:cantSplit/>
          <w:trHeight w:val="560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</w:t>
            </w:r>
          </w:p>
        </w:tc>
      </w:tr>
      <w:tr w:rsidR="00AD751E" w:rsidRPr="00AC6B72" w:rsidTr="00F63CD5">
        <w:trPr>
          <w:cantSplit/>
          <w:trHeight w:val="560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2 02 25558 10 0000 150</w:t>
            </w: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 на обеспечение развития и укрепление материально-технической базы мун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домов культуры, поддержку творческой деятел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муниципальных театров в городах численностью до 300 тысяч жителей</w:t>
            </w:r>
          </w:p>
        </w:tc>
      </w:tr>
      <w:tr w:rsidR="00AD751E" w:rsidRPr="00AC6B72" w:rsidTr="00F63CD5">
        <w:trPr>
          <w:cantSplit/>
          <w:trHeight w:val="560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</w:t>
            </w:r>
          </w:p>
        </w:tc>
      </w:tr>
      <w:tr w:rsidR="00AD751E" w:rsidRPr="00AC6B72" w:rsidTr="00F63CD5">
        <w:trPr>
          <w:cantSplit/>
          <w:trHeight w:val="560"/>
        </w:trPr>
        <w:tc>
          <w:tcPr>
            <w:tcW w:w="720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117 15030 10 0000 150</w:t>
            </w:r>
          </w:p>
        </w:tc>
        <w:tc>
          <w:tcPr>
            <w:tcW w:w="6446" w:type="dxa"/>
          </w:tcPr>
          <w:p w:rsidR="00AD751E" w:rsidRPr="00AC6B72" w:rsidRDefault="00AD751E" w:rsidP="00F6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 сельских п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</w:t>
            </w:r>
          </w:p>
        </w:tc>
      </w:tr>
    </w:tbl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3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"/>
        <w:gridCol w:w="3082"/>
        <w:gridCol w:w="6237"/>
        <w:gridCol w:w="360"/>
      </w:tblGrid>
      <w:tr w:rsidR="00AD751E" w:rsidRPr="00AC6B72" w:rsidTr="00F63CD5">
        <w:trPr>
          <w:gridAfter w:val="1"/>
          <w:wAfter w:w="360" w:type="dxa"/>
          <w:cantSplit/>
          <w:trHeight w:val="679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Межрайонная инспекция Федеральной налоговой  службы России №3 по Республике Калмыкия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372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поступления, в соответствии с Налоговым к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дексом.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1 01 02010 01 2000 110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стрированными в качестве индивидуальных предприним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нотариусов, занимающихся частной практикой, а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вокатов, учредивших адвокатские кабинеты и других лиц, занимающихся частной практикой в соответствии со стат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227 Налогового кодекса Российской Федерации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1 01 02020 01 2000 110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стрированными в качестве индивидуальных предприним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нотариусов, занимающихся частной практикой, а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вокатов, учредивших адвокатские кабинеты и других лиц, занимающихся частной практикой в соответствии со стат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227 Налогового кодекса Российской Федерации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1 01 02020 01 3000 110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стрированными в качестве индивидуальных предприним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нотариусов, занимающихся частной практикой, а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вокатов, учредивших адвокатские кабинеты и других лиц, занимающихся частной практикой в соответствии со стат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227 Налогового кодекса Российской Федерации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237" w:type="dxa"/>
            <w:vAlign w:val="center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AD751E" w:rsidRPr="00AC6B72" w:rsidTr="00F63CD5">
        <w:trPr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237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ды, истекшие до 1 января 2011 года)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D751E" w:rsidRPr="00AC6B72" w:rsidRDefault="00AD751E" w:rsidP="00F63CD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кам, применяемым к объектам налогообложения, распол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женным в границах сельских поселений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участком, расположенным в границах сельских пос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6237" w:type="dxa"/>
            <w:vAlign w:val="center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ст.394 Налогового кодекса РФ, зачисляемый в бюджеты поселений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1 06 06023 10 0000 110</w:t>
            </w:r>
          </w:p>
        </w:tc>
        <w:tc>
          <w:tcPr>
            <w:tcW w:w="6237" w:type="dxa"/>
            <w:vAlign w:val="center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ст.394 Налогового кодекса РФ, зачисляемый в бюджеты поселений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6237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государственную регистр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а также за совершение прочих юридически значимых действий</w:t>
            </w:r>
          </w:p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C6B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мобилизуемый на территориях сельских п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Федеральной службы судебных приставов по Республике Калмыкия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с лиц, виновных в совершении преступлений</w:t>
            </w:r>
            <w:proofErr w:type="gramStart"/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ущерба имуществу, зачисляемые в бюджеты сел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D751E" w:rsidRPr="00AC6B72" w:rsidRDefault="00AD751E" w:rsidP="00F63CD5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C6B7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Республиканская служба финансово-бюджетного ко</w:t>
            </w:r>
            <w:r w:rsidRPr="00AC6B7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н</w:t>
            </w:r>
            <w:r w:rsidRPr="00AC6B7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троля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C6B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</w:t>
            </w:r>
            <w:r w:rsidRPr="00AC6B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r w:rsidRPr="00AC6B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ных правовых актов субъектов Российской Федерации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C6B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653"/>
        </w:trPr>
        <w:tc>
          <w:tcPr>
            <w:tcW w:w="964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C6B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Прочие поступления от денежных взысканий (штрафов) и иных сумм в возмещение ущерба</w:t>
            </w:r>
            <w:proofErr w:type="gramStart"/>
            <w:r w:rsidRPr="00AC6B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AC6B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зачисляемые в бюджеты сельских поселений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116 33050 10 0000 140</w:t>
            </w:r>
          </w:p>
        </w:tc>
        <w:tc>
          <w:tcPr>
            <w:tcW w:w="6237" w:type="dxa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Российской Федерации о контрактной системе в сфере закупок товаров, работ, услуг для обеспечения гос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и муниципальных нужд для нужд сельских поселений</w:t>
            </w:r>
          </w:p>
          <w:p w:rsidR="00AD751E" w:rsidRPr="00AC6B72" w:rsidRDefault="00AD751E" w:rsidP="00F63CD5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116 51040 02 0000 140</w:t>
            </w:r>
          </w:p>
        </w:tc>
        <w:tc>
          <w:tcPr>
            <w:tcW w:w="6237" w:type="dxa"/>
            <w:vAlign w:val="center"/>
          </w:tcPr>
          <w:p w:rsidR="00AD751E" w:rsidRPr="00AC6B72" w:rsidRDefault="00AD751E" w:rsidP="00F63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C6B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Денежные взыскания (штрафы), установленные законами субъектов Российской Федерации за несоблюдение мун</w:t>
            </w:r>
            <w:r w:rsidRPr="00AC6B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</w:t>
            </w:r>
            <w:r w:rsidRPr="00AC6B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ципальных правовых актов, зачисляемые в бюджеты пос</w:t>
            </w:r>
            <w:r w:rsidRPr="00AC6B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r w:rsidRPr="00AC6B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лений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603  </w:t>
            </w:r>
          </w:p>
        </w:tc>
        <w:tc>
          <w:tcPr>
            <w:tcW w:w="3082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Контрольно-счетная палата Республики Калм</w:t>
            </w:r>
            <w:r w:rsidRPr="00AC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AC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кия</w:t>
            </w: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  </w:t>
            </w:r>
          </w:p>
        </w:tc>
        <w:tc>
          <w:tcPr>
            <w:tcW w:w="3082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116 18050 10 0000 140  </w:t>
            </w:r>
          </w:p>
        </w:tc>
        <w:tc>
          <w:tcPr>
            <w:tcW w:w="6237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751E" w:rsidRPr="00AC6B72" w:rsidTr="00F63CD5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082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116 90050 10 0000 140  </w:t>
            </w:r>
          </w:p>
        </w:tc>
        <w:tc>
          <w:tcPr>
            <w:tcW w:w="6237" w:type="dxa"/>
            <w:vAlign w:val="center"/>
          </w:tcPr>
          <w:p w:rsidR="00AD751E" w:rsidRPr="00AC6B72" w:rsidRDefault="00AD751E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</w:t>
            </w:r>
            <w:proofErr w:type="gramStart"/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A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сумм   в возмещении ущерба, зачисляемые в бюджет сельских поселений                                                           </w:t>
            </w:r>
          </w:p>
        </w:tc>
      </w:tr>
    </w:tbl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*Код администратора поступлений по данным платежам указывается в соответствии с пере</w:t>
      </w:r>
      <w:r w:rsidRPr="00AC6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</w:t>
      </w:r>
      <w:r w:rsidRPr="00AC6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нем получателей средств бюджета </w:t>
      </w:r>
      <w:proofErr w:type="spellStart"/>
      <w:r w:rsidRPr="00AC6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муниципального образования Респу</w:t>
      </w:r>
      <w:r w:rsidRPr="00AC6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Pr="00AC6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лики Калмыкия </w:t>
      </w: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Default="00AD751E" w:rsidP="00AD751E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D751E" w:rsidRDefault="00AD751E" w:rsidP="00AD751E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751E" w:rsidRDefault="00AD751E" w:rsidP="00AD751E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751E" w:rsidRPr="00AC6B72" w:rsidRDefault="00AD751E" w:rsidP="00AD751E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_GoBack"/>
      <w:bookmarkEnd w:id="1"/>
    </w:p>
    <w:p w:rsidR="00AD751E" w:rsidRPr="00AC6B72" w:rsidRDefault="00AD751E" w:rsidP="00AD751E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  <w:r w:rsidRPr="00AC6B7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lastRenderedPageBreak/>
        <w:t xml:space="preserve">Порядок </w:t>
      </w:r>
    </w:p>
    <w:p w:rsidR="00AD751E" w:rsidRPr="00AC6B72" w:rsidRDefault="00AD751E" w:rsidP="00AD751E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6B7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внесения изменений в перечень главных администраторов доходов </w:t>
      </w:r>
      <w:proofErr w:type="spellStart"/>
      <w:r w:rsidRPr="00AC6B7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</w:t>
      </w:r>
    </w:p>
    <w:p w:rsidR="00AD751E" w:rsidRPr="00AC6B72" w:rsidRDefault="00AD751E" w:rsidP="00AD751E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6B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751E" w:rsidRPr="00AC6B72" w:rsidRDefault="00AD751E" w:rsidP="00AD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1. </w:t>
      </w:r>
      <w:proofErr w:type="gram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Настоящий Порядок разработан в соответствии с пунктом 10 Общих требований к з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нию перечня главных администраторов доходов бюджета субъекта Российской Федер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ции, бюджета территориального фонда обязательного медицинского страхования,  местного бюджета, утвержденных </w:t>
      </w:r>
      <w:hyperlink r:id="rId7" w:history="1">
        <w:r w:rsidRPr="00AC6B72">
          <w:rPr>
            <w:rFonts w:ascii="Times New Roman" w:eastAsia="Times New Roman" w:hAnsi="Times New Roman" w:cs="Times New Roman"/>
            <w:color w:val="0263B2"/>
            <w:sz w:val="26"/>
            <w:szCs w:val="24"/>
            <w:lang w:eastAsia="ru-RU"/>
          </w:rPr>
          <w:t>Постановлением</w:t>
        </w:r>
        <w:proofErr w:type="gramEnd"/>
      </w:hyperlink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proofErr w:type="gram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Правительства Российской Ф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дерации от 16.09.2021г.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ского страхования,  органами местного самоуправления, органами местной администр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ции полномочий главного администратора доходов бюджета и к утверждению перечня главных администраторов доходов бюджета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муниципального о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разования Республики Калмыкия.</w:t>
      </w:r>
      <w:proofErr w:type="gramEnd"/>
    </w:p>
    <w:p w:rsidR="00AD751E" w:rsidRPr="00AC6B72" w:rsidRDefault="00AD751E" w:rsidP="00AD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 В случаях изменения состава и (или) функций главных администраторов доходов бюджета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Калмыкия, а также изменения принципов  назначения и присвоения структуры кодов классификации доходов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 и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менения в перечень главных администраторов доходов бюджета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Калмыкия</w:t>
      </w:r>
      <w:proofErr w:type="gram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,а</w:t>
      </w:r>
      <w:proofErr w:type="spellEnd"/>
      <w:proofErr w:type="gram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также в состав закрепленных за главными администраторами доходов бюджета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муниципального </w:t>
      </w:r>
      <w:proofErr w:type="gram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образования Республики Калмыкия кодов классификации доходов бюджета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 вносятся Постановлен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ем Администрации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 в срок не позднее 30 календарных дней со дня внесения изменений в фед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ральные законы и принимаемые в соответствии с ними иные нормативные правовые а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ты Российской Федерации, законы и иные нормативные правовые акты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</w:t>
      </w:r>
      <w:proofErr w:type="gram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 части изменения в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ы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полняемых полномочий по оказанию государственных услуг и иных полномочий по и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полнению государственных функций, при реализации которых возникают обязанности юридических и физических лиц по перечислению сре</w:t>
      </w:r>
      <w:proofErr w:type="gram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дств в б</w:t>
      </w:r>
      <w:proofErr w:type="gram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юджет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ь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ского муниципального образования Республики Калмыкия</w:t>
      </w:r>
    </w:p>
    <w:p w:rsidR="00AD751E" w:rsidRPr="00AC6B72" w:rsidRDefault="00AD751E" w:rsidP="00AD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(дале</w:t>
      </w:r>
      <w:proofErr w:type="gram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е-</w:t>
      </w:r>
      <w:proofErr w:type="gram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нормативные правовые акты Российской Федерации,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Калмыкия) без внесения изменений в Постано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ление Администрации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Калмыкия, утверждающие перечень главных администраторов доходов бюджета </w:t>
      </w:r>
      <w:proofErr w:type="spellStart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Бару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</w:t>
      </w:r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ского</w:t>
      </w:r>
      <w:proofErr w:type="spellEnd"/>
      <w:r w:rsidRPr="00AC6B7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</w:t>
      </w:r>
    </w:p>
    <w:p w:rsidR="00AD751E" w:rsidRPr="00AC6B72" w:rsidRDefault="00AD751E" w:rsidP="00AD751E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AD751E" w:rsidRPr="00AC6B72" w:rsidRDefault="00AD751E" w:rsidP="00AD751E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AC6B72" w:rsidRDefault="00AD751E" w:rsidP="00AD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E" w:rsidRPr="00E55016" w:rsidRDefault="00AD751E" w:rsidP="00AD751E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96486" w:rsidRDefault="00E96486"/>
    <w:sectPr w:rsidR="00E96486" w:rsidSect="00E87D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C72EB"/>
    <w:multiLevelType w:val="hybridMultilevel"/>
    <w:tmpl w:val="741A6FA0"/>
    <w:lvl w:ilvl="0" w:tplc="EE4A12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86"/>
    <w:rsid w:val="00AD751E"/>
    <w:rsid w:val="00E9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751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D751E"/>
  </w:style>
  <w:style w:type="paragraph" w:styleId="a5">
    <w:name w:val="Balloon Text"/>
    <w:basedOn w:val="a"/>
    <w:link w:val="a6"/>
    <w:uiPriority w:val="99"/>
    <w:semiHidden/>
    <w:unhideWhenUsed/>
    <w:rsid w:val="00AD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751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D751E"/>
  </w:style>
  <w:style w:type="paragraph" w:styleId="a5">
    <w:name w:val="Balloon Text"/>
    <w:basedOn w:val="a"/>
    <w:link w:val="a6"/>
    <w:uiPriority w:val="99"/>
    <w:semiHidden/>
    <w:unhideWhenUsed/>
    <w:rsid w:val="00AD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2305</Words>
  <Characters>13140</Characters>
  <Application>Microsoft Office Word</Application>
  <DocSecurity>0</DocSecurity>
  <Lines>109</Lines>
  <Paragraphs>30</Paragraphs>
  <ScaleCrop>false</ScaleCrop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2024-01-18T06:19:00Z</dcterms:created>
  <dcterms:modified xsi:type="dcterms:W3CDTF">2024-01-18T06:19:00Z</dcterms:modified>
</cp:coreProperties>
</file>